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Pr="002C791E" w:rsidRDefault="006B465B" w:rsidP="002C791E">
      <w:pPr>
        <w:jc w:val="center"/>
        <w:rPr>
          <w:b/>
          <w:sz w:val="24"/>
          <w:szCs w:val="24"/>
        </w:rPr>
      </w:pPr>
      <w:r w:rsidRPr="002C791E">
        <w:rPr>
          <w:b/>
          <w:sz w:val="24"/>
          <w:szCs w:val="24"/>
        </w:rPr>
        <w:t xml:space="preserve"> </w:t>
      </w:r>
      <w:r w:rsidR="002C791E">
        <w:rPr>
          <w:b/>
          <w:sz w:val="24"/>
          <w:szCs w:val="24"/>
        </w:rPr>
        <w:t xml:space="preserve">                 </w:t>
      </w:r>
      <w:r w:rsidR="00B83BA5" w:rsidRPr="002C791E">
        <w:rPr>
          <w:b/>
          <w:sz w:val="24"/>
          <w:szCs w:val="24"/>
        </w:rPr>
        <w:t>ΠΕΡΙΓΡΑΜΜΑ ΜΑΘΗΜΑΤΟΣ</w:t>
      </w:r>
    </w:p>
    <w:tbl>
      <w:tblPr>
        <w:tblStyle w:val="a3"/>
        <w:tblW w:w="10065" w:type="dxa"/>
        <w:tblInd w:w="-743" w:type="dxa"/>
        <w:tblLayout w:type="fixed"/>
        <w:tblLook w:val="04A0"/>
      </w:tblPr>
      <w:tblGrid>
        <w:gridCol w:w="2978"/>
        <w:gridCol w:w="1984"/>
        <w:gridCol w:w="425"/>
        <w:gridCol w:w="2268"/>
        <w:gridCol w:w="142"/>
        <w:gridCol w:w="2268"/>
      </w:tblGrid>
      <w:tr w:rsidR="002C791E" w:rsidTr="00055873">
        <w:tc>
          <w:tcPr>
            <w:tcW w:w="2978" w:type="dxa"/>
            <w:tcBorders>
              <w:top w:val="nil"/>
              <w:left w:val="nil"/>
              <w:right w:val="nil"/>
            </w:tcBorders>
          </w:tcPr>
          <w:p w:rsidR="002C791E" w:rsidRPr="002C791E" w:rsidRDefault="002C791E" w:rsidP="002C791E">
            <w:pPr>
              <w:pStyle w:val="a4"/>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2"/>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3B733E" w:rsidRDefault="003B733E" w:rsidP="00B83BA5">
            <w:pPr>
              <w:jc w:val="center"/>
            </w:pPr>
            <w:r>
              <w:t>Παιδαγωγική Σχολή Φλώρινας</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3B733E" w:rsidRDefault="008C6952" w:rsidP="00B83BA5">
            <w:pPr>
              <w:jc w:val="center"/>
            </w:pPr>
            <w:r>
              <w:t>Νηπι</w:t>
            </w:r>
            <w:r w:rsidR="003B733E">
              <w:t>αγωγών</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3B733E" w:rsidRDefault="003B733E" w:rsidP="00B83BA5">
            <w:pPr>
              <w:jc w:val="center"/>
            </w:pPr>
            <w:r>
              <w:t>Μεταπτυχιακό</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3B733E" w:rsidRDefault="003B733E" w:rsidP="00B83BA5">
            <w:pPr>
              <w:jc w:val="center"/>
            </w:pPr>
            <w:r>
              <w:t>Ε1</w:t>
            </w:r>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Pr="006B465B">
              <w:rPr>
                <w:b/>
              </w:rPr>
              <w:t xml:space="preserve"> </w:t>
            </w:r>
            <w:r w:rsidR="002C791E">
              <w:rPr>
                <w:b/>
              </w:rPr>
              <w:t>Σ</w:t>
            </w:r>
            <w:r w:rsidRPr="006B465B">
              <w:rPr>
                <w:b/>
                <w:lang w:val="en-US"/>
              </w:rPr>
              <w:t>ΠΟΥΔΩΝ</w:t>
            </w: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ΤΙΤΛΟΣ ΜΑΘΗΜΑΤΟΣ</w:t>
            </w:r>
          </w:p>
        </w:tc>
        <w:tc>
          <w:tcPr>
            <w:tcW w:w="2409" w:type="dxa"/>
            <w:gridSpan w:val="2"/>
          </w:tcPr>
          <w:p w:rsidR="00B83BA5" w:rsidRPr="003B733E" w:rsidRDefault="003B733E" w:rsidP="00B83BA5">
            <w:pPr>
              <w:jc w:val="center"/>
            </w:pPr>
            <w:r>
              <w:t>Ταυτότητες στην εκπαίδευση: Οπτικές στην κοινωνική ψυχολογία του λόγου</w:t>
            </w:r>
          </w:p>
        </w:tc>
        <w:tc>
          <w:tcPr>
            <w:tcW w:w="2268" w:type="dxa"/>
          </w:tcPr>
          <w:p w:rsidR="00B83BA5" w:rsidRPr="003B733E" w:rsidRDefault="003B733E" w:rsidP="00B83BA5">
            <w:pPr>
              <w:jc w:val="center"/>
            </w:pPr>
            <w:r>
              <w:t>Β</w:t>
            </w:r>
          </w:p>
        </w:tc>
        <w:tc>
          <w:tcPr>
            <w:tcW w:w="2410" w:type="dxa"/>
            <w:gridSpan w:val="2"/>
          </w:tcPr>
          <w:p w:rsidR="00B83BA5" w:rsidRPr="003B733E" w:rsidRDefault="00B83BA5" w:rsidP="00B83BA5">
            <w:pPr>
              <w:jc w:val="center"/>
            </w:pP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Pr="006B465B" w:rsidRDefault="006B465B" w:rsidP="00B83BA5">
            <w:pPr>
              <w:jc w:val="center"/>
              <w:rPr>
                <w:b/>
              </w:rPr>
            </w:pPr>
            <w:r w:rsidRPr="006B465B">
              <w:rPr>
                <w:b/>
              </w:rPr>
              <w:t>ΔΙΔΑΣΚΑΛΙΑΣ</w:t>
            </w:r>
          </w:p>
        </w:tc>
        <w:tc>
          <w:tcPr>
            <w:tcW w:w="2410" w:type="dxa"/>
            <w:gridSpan w:val="2"/>
            <w:shd w:val="clear" w:color="auto" w:fill="DDD9C3" w:themeFill="background2" w:themeFillShade="E6"/>
          </w:tcPr>
          <w:p w:rsidR="006B465B" w:rsidRDefault="006B465B" w:rsidP="00B83BA5">
            <w:pPr>
              <w:jc w:val="center"/>
              <w:rPr>
                <w:b/>
              </w:rPr>
            </w:pPr>
          </w:p>
          <w:p w:rsidR="006B465B" w:rsidRPr="006B465B" w:rsidRDefault="006B465B" w:rsidP="00B83BA5">
            <w:pPr>
              <w:jc w:val="center"/>
              <w:rPr>
                <w:b/>
              </w:rPr>
            </w:pPr>
            <w:r w:rsidRPr="006B465B">
              <w:rPr>
                <w:b/>
              </w:rPr>
              <w:t>ΠΙΣΤΩΤΙΚΕΣ ΜΟΝΑΔΕΣ</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3B733E" w:rsidP="00B83BA5">
            <w:pPr>
              <w:jc w:val="center"/>
            </w:pPr>
            <w:r>
              <w:t>3</w:t>
            </w:r>
          </w:p>
        </w:tc>
        <w:tc>
          <w:tcPr>
            <w:tcW w:w="2410" w:type="dxa"/>
            <w:gridSpan w:val="2"/>
          </w:tcPr>
          <w:p w:rsidR="006B465B" w:rsidRPr="006B465B" w:rsidRDefault="003B733E" w:rsidP="00B83BA5">
            <w:pPr>
              <w:jc w:val="center"/>
            </w:pPr>
            <w:r>
              <w:t>10</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r w:rsidRPr="006B465B">
              <w:t xml:space="preserve"> </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3"/>
          </w:tcPr>
          <w:p w:rsidR="002C791E" w:rsidRPr="006B465B" w:rsidRDefault="00141913" w:rsidP="00B83BA5">
            <w:pPr>
              <w:jc w:val="center"/>
            </w:pPr>
            <w:r>
              <w:t>Ειδικότητας</w:t>
            </w: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3"/>
          </w:tcPr>
          <w:p w:rsidR="002C791E" w:rsidRPr="006B465B" w:rsidRDefault="002C791E"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3"/>
          </w:tcPr>
          <w:p w:rsidR="002C791E" w:rsidRPr="006B465B" w:rsidRDefault="003B733E" w:rsidP="00B83BA5">
            <w:pPr>
              <w:jc w:val="center"/>
            </w:pPr>
            <w:r>
              <w:t>Ελληνικά</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3"/>
          </w:tcPr>
          <w:p w:rsidR="002C791E" w:rsidRPr="006B465B" w:rsidRDefault="003B733E" w:rsidP="00B83BA5">
            <w:pPr>
              <w:jc w:val="center"/>
            </w:pPr>
            <w:r>
              <w:t>Ναι</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3"/>
            <w:tcBorders>
              <w:bottom w:val="single" w:sz="4" w:space="0" w:color="auto"/>
            </w:tcBorders>
          </w:tcPr>
          <w:p w:rsidR="002C791E" w:rsidRPr="006B465B" w:rsidRDefault="002C791E" w:rsidP="00B83BA5">
            <w:pPr>
              <w:jc w:val="center"/>
            </w:pPr>
          </w:p>
        </w:tc>
      </w:tr>
      <w:tr w:rsidR="002C791E" w:rsidRPr="001F4365" w:rsidTr="00055873">
        <w:tc>
          <w:tcPr>
            <w:tcW w:w="5387" w:type="dxa"/>
            <w:gridSpan w:val="3"/>
            <w:tcBorders>
              <w:left w:val="nil"/>
              <w:right w:val="nil"/>
            </w:tcBorders>
          </w:tcPr>
          <w:p w:rsidR="002C791E" w:rsidRPr="001F4365" w:rsidRDefault="001F4365" w:rsidP="001F4365">
            <w:pPr>
              <w:pStyle w:val="a4"/>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6"/>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a4"/>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a4"/>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a4"/>
              <w:numPr>
                <w:ilvl w:val="0"/>
                <w:numId w:val="8"/>
              </w:numPr>
            </w:pPr>
            <w:r w:rsidRPr="001F4365">
              <w:t>Περιληπτικός Οδηγός συγγραφής Μαθησιακών Αποτελεσμάτων</w:t>
            </w:r>
          </w:p>
        </w:tc>
      </w:tr>
      <w:tr w:rsidR="001F4365" w:rsidRPr="006B465B" w:rsidTr="00055873">
        <w:tc>
          <w:tcPr>
            <w:tcW w:w="10065" w:type="dxa"/>
            <w:gridSpan w:val="6"/>
            <w:tcBorders>
              <w:bottom w:val="single" w:sz="4" w:space="0" w:color="auto"/>
            </w:tcBorders>
          </w:tcPr>
          <w:p w:rsidR="00363413" w:rsidRDefault="00141913" w:rsidP="00363413">
            <w:pPr>
              <w:pStyle w:val="a4"/>
              <w:numPr>
                <w:ilvl w:val="0"/>
                <w:numId w:val="9"/>
              </w:numPr>
              <w:jc w:val="center"/>
            </w:pPr>
            <w:r>
              <w:t>Οι φοιτητές/</w:t>
            </w:r>
            <w:proofErr w:type="spellStart"/>
            <w:r>
              <w:t>τήτριες</w:t>
            </w:r>
            <w:proofErr w:type="spellEnd"/>
            <w:r>
              <w:t xml:space="preserve"> θα αποχ</w:t>
            </w:r>
            <w:r w:rsidR="00363413">
              <w:t>τήσουν ένα θεωρητικό υπόβαθρο στη μελέτη της ταυτότητας στην κοινωνική ψυχολογία του λόγου</w:t>
            </w:r>
            <w:r w:rsidR="000C75BD">
              <w:t xml:space="preserve"> (π.χ. αντιπαραβολή με τις παραδοσιακές, </w:t>
            </w:r>
            <w:proofErr w:type="spellStart"/>
            <w:r w:rsidR="000C75BD">
              <w:t>συμπεριφορικές</w:t>
            </w:r>
            <w:proofErr w:type="spellEnd"/>
            <w:r w:rsidR="000C75BD">
              <w:t xml:space="preserve"> και γνωστικές κυρίως, θεωρίες ταυτότητας, την κατανόηση της ταυτότητας ως κοινωνικής κατασκευής κ.ά.)</w:t>
            </w:r>
            <w:r w:rsidR="00363413">
              <w:t>.</w:t>
            </w:r>
          </w:p>
          <w:p w:rsidR="001F4365" w:rsidRPr="0047232E" w:rsidRDefault="00363413" w:rsidP="00363413">
            <w:pPr>
              <w:pStyle w:val="a4"/>
              <w:numPr>
                <w:ilvl w:val="0"/>
                <w:numId w:val="9"/>
              </w:numPr>
              <w:jc w:val="center"/>
            </w:pPr>
            <w:r>
              <w:t>Οι φοιτητές/</w:t>
            </w:r>
            <w:proofErr w:type="spellStart"/>
            <w:r>
              <w:t>τήτριες</w:t>
            </w:r>
            <w:proofErr w:type="spellEnd"/>
            <w:r>
              <w:t xml:space="preserve"> θα αποχτήσουν ένα υπόβαθρο </w:t>
            </w:r>
            <w:r w:rsidR="00141913">
              <w:t xml:space="preserve">δεξιοτήτων στην ποιοτική </w:t>
            </w:r>
            <w:proofErr w:type="spellStart"/>
            <w:r w:rsidR="00141913">
              <w:t>κοινωνικοψυχολογική</w:t>
            </w:r>
            <w:proofErr w:type="spellEnd"/>
            <w:r w:rsidR="00141913">
              <w:t xml:space="preserve"> έρευνα και την κοινωνικοψυχολογική ανάλυση λόγου σε σχέση με τη μελέτη της ταυτότητας στην εκπαίδευση</w:t>
            </w:r>
            <w:r w:rsidR="000C75BD">
              <w:t xml:space="preserve"> (π.χ. συλλογή ερευνητικών δεδομένων, ανάλυση δεδομένων, διαχείριση του ζητήματος της εγκυρότητας κ.ά)</w:t>
            </w:r>
            <w:r w:rsidR="0047232E" w:rsidRPr="0047232E">
              <w:t>.</w:t>
            </w: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Pr="006B465B" w:rsidRDefault="001F4365" w:rsidP="00B83BA5">
            <w:pPr>
              <w:jc w:val="center"/>
            </w:pPr>
          </w:p>
        </w:tc>
      </w:tr>
      <w:tr w:rsidR="001F4365" w:rsidRPr="006B465B" w:rsidTr="00215975">
        <w:tc>
          <w:tcPr>
            <w:tcW w:w="10065" w:type="dxa"/>
            <w:gridSpan w:val="6"/>
            <w:tcBorders>
              <w:bottom w:val="nil"/>
            </w:tcBorders>
            <w:shd w:val="clear" w:color="auto" w:fill="DDD9C3" w:themeFill="background2" w:themeFillShade="E6"/>
          </w:tcPr>
          <w:p w:rsidR="001F4365" w:rsidRDefault="001F4365" w:rsidP="001F4365">
            <w:r w:rsidRPr="001F4365">
              <w:rPr>
                <w:b/>
              </w:rPr>
              <w:lastRenderedPageBreak/>
              <w:t>Γενικές Ικανότητες</w:t>
            </w:r>
            <w:r w:rsidRPr="001F4365">
              <w:t xml:space="preserve"> </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r w:rsidRPr="001F4365">
                    <w:rPr>
                      <w:b/>
                      <w:i/>
                      <w:iCs/>
                    </w:rPr>
                    <w:t xml:space="preserve"> </w:t>
                  </w:r>
                </w:p>
              </w:tc>
            </w:tr>
          </w:tbl>
          <w:p w:rsidR="001F4365" w:rsidRPr="002C791E" w:rsidRDefault="001F4365" w:rsidP="001F4365">
            <w:pPr>
              <w:rPr>
                <w:b/>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πολυπολιτισμικότητα </w:t>
                  </w:r>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6"/>
            <w:tcBorders>
              <w:bottom w:val="single" w:sz="4" w:space="0" w:color="auto"/>
            </w:tcBorders>
          </w:tcPr>
          <w:p w:rsidR="001F4365" w:rsidRPr="00305D9C" w:rsidRDefault="005A1B18" w:rsidP="00B83BA5">
            <w:pPr>
              <w:jc w:val="center"/>
            </w:pPr>
            <w:r>
              <w:t>Το μάθημα αποσκοπεί στην ανάπτυξη της ικανότητας για την παραγωγή νέων ερευνητικών ιδεών για τη μελέτη της ταυτότητας στην εκπαίδευση στο πλαίσιο της κοινωνικής ψυχολογίας του λόγου</w:t>
            </w:r>
            <w:r w:rsidR="00305D9C" w:rsidRPr="00305D9C">
              <w:t xml:space="preserve">. </w:t>
            </w:r>
            <w:r w:rsidR="00305D9C">
              <w:t>Επιπλέον, αποσκοπεί στην άσκηση κριτικής και αυτοκριτικής στο πλαίσιο μιας επαγγελματικής αυτο-επίγνωσης.</w:t>
            </w: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2609E6" w:rsidRDefault="002609E6" w:rsidP="00B83BA5">
            <w:pPr>
              <w:jc w:val="center"/>
            </w:pPr>
          </w:p>
          <w:p w:rsidR="002609E6" w:rsidRDefault="002609E6" w:rsidP="00B83BA5">
            <w:pPr>
              <w:jc w:val="center"/>
            </w:pPr>
          </w:p>
          <w:p w:rsidR="001F4365" w:rsidRPr="006B465B" w:rsidRDefault="001F4365"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ΠΕΡΙΕΧΟΜΕΝΟ ΜΑΘΗΜΑΤΟΣ</w:t>
            </w:r>
          </w:p>
        </w:tc>
      </w:tr>
      <w:tr w:rsidR="00055873" w:rsidRPr="006B465B" w:rsidTr="00215975">
        <w:tc>
          <w:tcPr>
            <w:tcW w:w="10065" w:type="dxa"/>
            <w:gridSpan w:val="6"/>
            <w:tcBorders>
              <w:bottom w:val="single" w:sz="4" w:space="0" w:color="auto"/>
            </w:tcBorders>
          </w:tcPr>
          <w:p w:rsidR="00055873" w:rsidRPr="00476A4A" w:rsidRDefault="00476A4A" w:rsidP="00B83BA5">
            <w:pPr>
              <w:jc w:val="center"/>
            </w:pPr>
            <w:r>
              <w:t>Πρώτα παρουσιάζεται το θεωρητικό και μεθοδολογικό πλαίσιο της κοινωνικής ψυχολογίας του λόγου. Στη συνέχεια παρουσιάζονται οι τρόποι μελέτης της ταυτότητας στην κοινωνική ψυχολογία του λόγου με τη χρήση ερευνητικών παραδειγμάτων που σχετίζονται με την εκπαίδευση. Τέλος, επιχειρείται η αποτίμηση της συμβολής της συγκεκριμένης ερευνητικής οπτικής στην ανάπτυξη επαγγελματικής αυτο-επίγνωσης.</w:t>
            </w: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2609E6" w:rsidRPr="006B465B" w:rsidRDefault="002609E6"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 xml:space="preserve">ΔΙΔΑΚΤΙΚΕΣ και ΜΑΘΗΣΙΑΚΕΣ ΜΕΘΟΔΟΙ </w:t>
            </w:r>
            <w:r w:rsidR="00143972">
              <w:rPr>
                <w:b/>
                <w:sz w:val="24"/>
                <w:szCs w:val="24"/>
              </w:rPr>
              <w:t>–</w:t>
            </w:r>
            <w:r w:rsidRPr="00055873">
              <w:rPr>
                <w:b/>
                <w:sz w:val="24"/>
                <w:szCs w:val="24"/>
              </w:rPr>
              <w:t xml:space="preserve">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t>εκπαίδευση κ.λπ.</w:t>
            </w:r>
          </w:p>
        </w:tc>
        <w:tc>
          <w:tcPr>
            <w:tcW w:w="5103" w:type="dxa"/>
            <w:gridSpan w:val="4"/>
          </w:tcPr>
          <w:p w:rsidR="00055873" w:rsidRPr="006B465B" w:rsidRDefault="00557646" w:rsidP="00B83BA5">
            <w:pPr>
              <w:jc w:val="center"/>
            </w:pPr>
            <w:r>
              <w:t>Πρόσωπο με πρόσωπο</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4"/>
          </w:tcPr>
          <w:p w:rsidR="00055873" w:rsidRPr="00557646" w:rsidRDefault="00557646" w:rsidP="00B83BA5">
            <w:pPr>
              <w:jc w:val="center"/>
              <w:rPr>
                <w:lang w:val="en-US"/>
              </w:rPr>
            </w:pPr>
            <w:r>
              <w:rPr>
                <w:lang w:val="en-US"/>
              </w:rPr>
              <w:t>Power-point, e-mail</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2835" w:type="dxa"/>
            <w:gridSpan w:val="3"/>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2268"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tc>
        <w:tc>
          <w:tcPr>
            <w:tcW w:w="2835" w:type="dxa"/>
            <w:gridSpan w:val="3"/>
          </w:tcPr>
          <w:p w:rsidR="00C472A9" w:rsidRPr="00557646" w:rsidRDefault="00557646" w:rsidP="00B83BA5">
            <w:pPr>
              <w:jc w:val="center"/>
            </w:pPr>
            <w:r>
              <w:t>Σεμινάρια</w:t>
            </w:r>
          </w:p>
        </w:tc>
        <w:tc>
          <w:tcPr>
            <w:tcW w:w="2268" w:type="dxa"/>
          </w:tcPr>
          <w:p w:rsidR="00C472A9" w:rsidRPr="006B465B" w:rsidRDefault="008C6952" w:rsidP="00B83BA5">
            <w:pPr>
              <w:jc w:val="center"/>
            </w:pPr>
            <w:r>
              <w:t>13μαθήματαΧ3ώρες=39 ώρες</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35" w:type="dxa"/>
            <w:gridSpan w:val="3"/>
          </w:tcPr>
          <w:p w:rsidR="00C472A9" w:rsidRPr="006B465B" w:rsidRDefault="008C6952" w:rsidP="00B83BA5">
            <w:pPr>
              <w:jc w:val="center"/>
            </w:pPr>
            <w:r>
              <w:t>Βιβλιογραφική έρευνα &amp; μελέτη της βιβλιογραφίας</w:t>
            </w:r>
          </w:p>
        </w:tc>
        <w:tc>
          <w:tcPr>
            <w:tcW w:w="2268" w:type="dxa"/>
          </w:tcPr>
          <w:p w:rsidR="00C472A9" w:rsidRPr="006B465B" w:rsidRDefault="008C6952" w:rsidP="00B83BA5">
            <w:pPr>
              <w:jc w:val="center"/>
            </w:pPr>
            <w:r>
              <w:t>111 ώρες</w:t>
            </w: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8C6952" w:rsidP="00B83BA5">
            <w:pPr>
              <w:jc w:val="center"/>
            </w:pPr>
            <w:r>
              <w:t>Συγγραφή &amp; παρουσίαση εργασίας</w:t>
            </w:r>
          </w:p>
        </w:tc>
        <w:tc>
          <w:tcPr>
            <w:tcW w:w="2268" w:type="dxa"/>
          </w:tcPr>
          <w:p w:rsidR="00C472A9" w:rsidRPr="006B465B" w:rsidRDefault="008C6952" w:rsidP="00B83BA5">
            <w:pPr>
              <w:jc w:val="center"/>
            </w:pPr>
            <w:r>
              <w:t>100 ώρες</w:t>
            </w: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3E2A35" w:rsidP="00B83BA5">
            <w:pPr>
              <w:jc w:val="center"/>
            </w:pPr>
            <w:r>
              <w:t>Σύνολο 250 ώρες</w:t>
            </w: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tcBorders>
              <w:bottom w:val="single" w:sz="4" w:space="0" w:color="auto"/>
            </w:tcBorders>
            <w:shd w:val="clear" w:color="auto" w:fill="DDD9C3" w:themeFill="background2" w:themeFillShade="E6"/>
          </w:tcPr>
          <w:p w:rsidR="00C472A9" w:rsidRPr="00C472A9" w:rsidRDefault="00C472A9" w:rsidP="00C472A9">
            <w:pPr>
              <w:jc w:val="right"/>
              <w:rPr>
                <w:b/>
              </w:rPr>
            </w:pPr>
            <w:r w:rsidRPr="00C472A9">
              <w:rPr>
                <w:b/>
              </w:rPr>
              <w:t>ΑΞΙΟΛΟΓΗΣΗ ΦΟΙΤΗΤΩΝ</w:t>
            </w:r>
          </w:p>
          <w:p w:rsidR="00C472A9" w:rsidRPr="00C472A9" w:rsidRDefault="00C472A9" w:rsidP="00C472A9">
            <w:pPr>
              <w:rPr>
                <w:i/>
              </w:rPr>
            </w:pPr>
            <w:r w:rsidRPr="00C472A9">
              <w:rPr>
                <w:i/>
              </w:rPr>
              <w:t>Περιγραφή της διαδικασίας αξιολόγησης.</w:t>
            </w:r>
          </w:p>
          <w:p w:rsidR="00C472A9" w:rsidRPr="00C472A9" w:rsidRDefault="00C472A9" w:rsidP="00C472A9">
            <w:pPr>
              <w:rPr>
                <w:i/>
              </w:rPr>
            </w:pPr>
          </w:p>
          <w:p w:rsidR="00C472A9" w:rsidRDefault="00C472A9"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Pr>
                <w:i/>
              </w:rPr>
              <w:t>Άλλες.</w:t>
            </w:r>
          </w:p>
          <w:p w:rsidR="00C472A9" w:rsidRPr="00C472A9" w:rsidRDefault="00C472A9" w:rsidP="00C472A9">
            <w:pPr>
              <w:jc w:val="both"/>
              <w:rPr>
                <w:i/>
              </w:rPr>
            </w:pPr>
          </w:p>
          <w:p w:rsidR="00C472A9" w:rsidRPr="00C472A9" w:rsidRDefault="00C472A9" w:rsidP="00C472A9">
            <w:pPr>
              <w:jc w:val="both"/>
              <w:rPr>
                <w:b/>
                <w:i/>
              </w:rPr>
            </w:pPr>
            <w:r w:rsidRPr="00C472A9">
              <w:rPr>
                <w:i/>
              </w:rPr>
              <w:t>Αναφέρονται ρητά προσδιορισμένα κριτήρια αξιολόγησης και εάν και που είναι προσβάσιμα από τους φοιτητές.</w:t>
            </w:r>
          </w:p>
        </w:tc>
        <w:tc>
          <w:tcPr>
            <w:tcW w:w="5103" w:type="dxa"/>
            <w:gridSpan w:val="4"/>
            <w:tcBorders>
              <w:bottom w:val="single" w:sz="4" w:space="0" w:color="auto"/>
            </w:tcBorders>
          </w:tcPr>
          <w:p w:rsidR="00C472A9" w:rsidRPr="006B465B" w:rsidRDefault="00997FE7" w:rsidP="00B83BA5">
            <w:pPr>
              <w:jc w:val="center"/>
            </w:pPr>
            <w:r>
              <w:t>Γραπτή εργασία</w:t>
            </w:r>
            <w:r w:rsidR="008C6952">
              <w:t xml:space="preserve"> 5.000 λέξεων</w:t>
            </w:r>
            <w:r>
              <w:t>. Κριτήρια αξιολόγησης: σαφής, ακριβής και συνεκτικός ακαδημαϊκός λόγος.</w:t>
            </w:r>
          </w:p>
        </w:tc>
      </w:tr>
      <w:tr w:rsidR="002609E6" w:rsidRPr="002609E6" w:rsidTr="002609E6">
        <w:tc>
          <w:tcPr>
            <w:tcW w:w="10065" w:type="dxa"/>
            <w:gridSpan w:val="6"/>
            <w:tcBorders>
              <w:left w:val="nil"/>
              <w:right w:val="nil"/>
            </w:tcBorders>
          </w:tcPr>
          <w:p w:rsidR="002609E6" w:rsidRPr="002609E6" w:rsidRDefault="002609E6" w:rsidP="002609E6">
            <w:pPr>
              <w:pStyle w:val="a4"/>
              <w:numPr>
                <w:ilvl w:val="0"/>
                <w:numId w:val="7"/>
              </w:numPr>
              <w:spacing w:before="120"/>
              <w:ind w:left="714" w:hanging="357"/>
              <w:rPr>
                <w:b/>
                <w:sz w:val="24"/>
                <w:szCs w:val="24"/>
              </w:rPr>
            </w:pPr>
            <w:r w:rsidRPr="002609E6">
              <w:rPr>
                <w:b/>
                <w:sz w:val="24"/>
                <w:szCs w:val="24"/>
              </w:rPr>
              <w:t>ΣΥΝΙΣΤΩΜΕΝΗ-ΒΙΒΛΙΟΓΡΑΦΙΑ</w:t>
            </w:r>
          </w:p>
        </w:tc>
      </w:tr>
      <w:tr w:rsidR="002609E6" w:rsidRPr="00DC2A50" w:rsidTr="009E61D6">
        <w:tc>
          <w:tcPr>
            <w:tcW w:w="10065" w:type="dxa"/>
            <w:gridSpan w:val="6"/>
          </w:tcPr>
          <w:p w:rsidR="002609E6" w:rsidRDefault="002609E6" w:rsidP="002609E6">
            <w:pPr>
              <w:rPr>
                <w:i/>
              </w:rPr>
            </w:pPr>
            <w:r w:rsidRPr="00215975">
              <w:rPr>
                <w:i/>
              </w:rPr>
              <w:t>-Προτεινόμενη Βιβλιογραφία :</w:t>
            </w:r>
          </w:p>
          <w:p w:rsidR="00997FE7" w:rsidRDefault="00922EA4" w:rsidP="002609E6">
            <w:pPr>
              <w:rPr>
                <w:lang w:val="en-GB"/>
              </w:rPr>
            </w:pPr>
            <w:r>
              <w:rPr>
                <w:lang w:val="en-GB"/>
              </w:rPr>
              <w:t xml:space="preserve">McKinlay, A. &amp; McVittie, C. (2008) </w:t>
            </w:r>
            <w:r w:rsidRPr="00090344">
              <w:rPr>
                <w:i/>
                <w:lang w:val="en-GB"/>
              </w:rPr>
              <w:t xml:space="preserve">Social psychology and discourse. </w:t>
            </w:r>
            <w:r>
              <w:rPr>
                <w:lang w:val="en-GB"/>
              </w:rPr>
              <w:t>Chichester, West Sussex: Wiley-Blackwell.</w:t>
            </w:r>
          </w:p>
          <w:p w:rsidR="00922EA4" w:rsidRPr="00143972" w:rsidRDefault="00922EA4" w:rsidP="002609E6">
            <w:pPr>
              <w:rPr>
                <w:lang w:val="en-US"/>
              </w:rPr>
            </w:pPr>
            <w:r>
              <w:rPr>
                <w:lang w:val="en-GB"/>
              </w:rPr>
              <w:t xml:space="preserve">McKinlay, A. &amp; McVittie, C. (2011) </w:t>
            </w:r>
            <w:r w:rsidRPr="001F5472">
              <w:rPr>
                <w:i/>
                <w:lang w:val="en-GB"/>
              </w:rPr>
              <w:t>Identities in context.</w:t>
            </w:r>
            <w:r>
              <w:rPr>
                <w:lang w:val="en-GB"/>
              </w:rPr>
              <w:t xml:space="preserve"> Chichester, West Sussex: Wiley-Blackwell.</w:t>
            </w:r>
          </w:p>
          <w:p w:rsidR="00C429B1" w:rsidRPr="00143972" w:rsidRDefault="00C429B1" w:rsidP="002609E6">
            <w:pPr>
              <w:rPr>
                <w:rFonts w:cs="Times New Roman"/>
                <w:lang w:val="en-US"/>
              </w:rPr>
            </w:pPr>
            <w:r w:rsidRPr="00C429B1">
              <w:rPr>
                <w:rFonts w:cs="Times New Roman"/>
                <w:lang w:val="en-US"/>
              </w:rPr>
              <w:t>Finlay, L. &amp; Gough, B. (</w:t>
            </w:r>
            <w:r w:rsidRPr="00C429B1">
              <w:rPr>
                <w:rFonts w:cs="Times New Roman"/>
              </w:rPr>
              <w:t>επιμ</w:t>
            </w:r>
            <w:r w:rsidRPr="00C429B1">
              <w:rPr>
                <w:rFonts w:cs="Times New Roman"/>
                <w:lang w:val="en-US"/>
              </w:rPr>
              <w:t xml:space="preserve">.) </w:t>
            </w:r>
            <w:r w:rsidRPr="00C429B1">
              <w:rPr>
                <w:rFonts w:cs="Times New Roman"/>
                <w:i/>
                <w:lang w:val="en-US"/>
              </w:rPr>
              <w:t>Reflexivity: A practical guide for researchers in health and social sciences.</w:t>
            </w:r>
            <w:r w:rsidRPr="00C429B1">
              <w:rPr>
                <w:rFonts w:cs="Times New Roman"/>
                <w:lang w:val="en-US"/>
              </w:rPr>
              <w:t xml:space="preserve"> Oxford: Blackwell.</w:t>
            </w:r>
          </w:p>
          <w:p w:rsidR="00236505" w:rsidRPr="00143972" w:rsidRDefault="00236505" w:rsidP="002609E6">
            <w:pPr>
              <w:rPr>
                <w:lang w:val="en-US"/>
              </w:rPr>
            </w:pPr>
          </w:p>
          <w:p w:rsidR="002609E6" w:rsidRPr="008C6952" w:rsidRDefault="002609E6" w:rsidP="002609E6">
            <w:pPr>
              <w:rPr>
                <w:i/>
                <w:lang w:val="en-US"/>
              </w:rPr>
            </w:pPr>
            <w:r w:rsidRPr="008C6952">
              <w:rPr>
                <w:i/>
                <w:lang w:val="en-US"/>
              </w:rPr>
              <w:t>-</w:t>
            </w:r>
            <w:r w:rsidRPr="00215975">
              <w:rPr>
                <w:i/>
              </w:rPr>
              <w:t>Συναφή</w:t>
            </w:r>
            <w:r w:rsidRPr="008C6952">
              <w:rPr>
                <w:i/>
                <w:lang w:val="en-US"/>
              </w:rPr>
              <w:t xml:space="preserve"> </w:t>
            </w:r>
            <w:r w:rsidRPr="00215975">
              <w:rPr>
                <w:i/>
              </w:rPr>
              <w:t>επιστημονικά</w:t>
            </w:r>
            <w:r w:rsidRPr="008C6952">
              <w:rPr>
                <w:i/>
                <w:lang w:val="en-US"/>
              </w:rPr>
              <w:t xml:space="preserve"> </w:t>
            </w:r>
            <w:r w:rsidRPr="00215975">
              <w:rPr>
                <w:i/>
              </w:rPr>
              <w:t>περιοδικά</w:t>
            </w:r>
            <w:r w:rsidRPr="008C6952">
              <w:rPr>
                <w:i/>
                <w:lang w:val="en-US"/>
              </w:rPr>
              <w:t>:</w:t>
            </w:r>
            <w:bookmarkStart w:id="0" w:name="_GoBack"/>
            <w:bookmarkEnd w:id="0"/>
          </w:p>
          <w:p w:rsidR="00997FE7" w:rsidRDefault="00997FE7" w:rsidP="002609E6">
            <w:pPr>
              <w:rPr>
                <w:lang w:val="en-US"/>
              </w:rPr>
            </w:pPr>
            <w:r>
              <w:rPr>
                <w:lang w:val="en-US"/>
              </w:rPr>
              <w:t>Journal of Community &amp; Applied Social Psychology</w:t>
            </w:r>
          </w:p>
          <w:p w:rsidR="00236505" w:rsidRDefault="00236505" w:rsidP="00236505">
            <w:pPr>
              <w:rPr>
                <w:lang w:val="en-US"/>
              </w:rPr>
            </w:pPr>
            <w:r>
              <w:rPr>
                <w:lang w:val="en-US"/>
              </w:rPr>
              <w:t>The Social Psychology of Education</w:t>
            </w:r>
          </w:p>
          <w:p w:rsidR="00997FE7" w:rsidRDefault="00997FE7" w:rsidP="002609E6">
            <w:pPr>
              <w:rPr>
                <w:lang w:val="en-US"/>
              </w:rPr>
            </w:pPr>
            <w:r>
              <w:rPr>
                <w:lang w:val="en-US"/>
              </w:rPr>
              <w:t>Teachers &amp; Teaching</w:t>
            </w:r>
          </w:p>
          <w:p w:rsidR="00236505" w:rsidRPr="00997FE7" w:rsidRDefault="00236505" w:rsidP="00236505">
            <w:pPr>
              <w:rPr>
                <w:lang w:val="en-US"/>
              </w:rPr>
            </w:pPr>
            <w:r>
              <w:rPr>
                <w:lang w:val="en-US"/>
              </w:rPr>
              <w:t>Discourse: Studies in the Cultural Politics of Education</w:t>
            </w:r>
          </w:p>
          <w:p w:rsidR="00997FE7" w:rsidRDefault="00997FE7" w:rsidP="002609E6">
            <w:pPr>
              <w:rPr>
                <w:lang w:val="en-US"/>
              </w:rPr>
            </w:pPr>
            <w:r>
              <w:rPr>
                <w:lang w:val="en-US"/>
              </w:rPr>
              <w:t>International Journal of Qualitative Studies in Education</w:t>
            </w: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p w:rsidR="002609E6" w:rsidRPr="00997FE7" w:rsidRDefault="002609E6" w:rsidP="002609E6">
            <w:pPr>
              <w:rPr>
                <w:lang w:val="en-US"/>
              </w:rPr>
            </w:pPr>
          </w:p>
        </w:tc>
      </w:tr>
    </w:tbl>
    <w:p w:rsidR="00B83BA5" w:rsidRPr="00997FE7" w:rsidRDefault="00B83BA5" w:rsidP="00B83BA5">
      <w:pPr>
        <w:jc w:val="center"/>
        <w:rPr>
          <w:lang w:val="en-US"/>
        </w:rPr>
      </w:pPr>
    </w:p>
    <w:sectPr w:rsidR="00B83BA5" w:rsidRPr="00997FE7" w:rsidSect="00DE12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0CB"/>
    <w:multiLevelType w:val="hybridMultilevel"/>
    <w:tmpl w:val="C3042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6015"/>
    <w:rsid w:val="00055873"/>
    <w:rsid w:val="000A049D"/>
    <w:rsid w:val="000C75BD"/>
    <w:rsid w:val="00141913"/>
    <w:rsid w:val="00143972"/>
    <w:rsid w:val="001E6015"/>
    <w:rsid w:val="001F4365"/>
    <w:rsid w:val="00215975"/>
    <w:rsid w:val="00236505"/>
    <w:rsid w:val="002609E6"/>
    <w:rsid w:val="002B19E9"/>
    <w:rsid w:val="002C791E"/>
    <w:rsid w:val="00305D9C"/>
    <w:rsid w:val="00363413"/>
    <w:rsid w:val="00397922"/>
    <w:rsid w:val="003B733E"/>
    <w:rsid w:val="003E2A35"/>
    <w:rsid w:val="0047232E"/>
    <w:rsid w:val="00476A4A"/>
    <w:rsid w:val="00557646"/>
    <w:rsid w:val="0056611C"/>
    <w:rsid w:val="005A1B18"/>
    <w:rsid w:val="006B465B"/>
    <w:rsid w:val="0076315A"/>
    <w:rsid w:val="008C6952"/>
    <w:rsid w:val="00922EA4"/>
    <w:rsid w:val="00963078"/>
    <w:rsid w:val="00997FE7"/>
    <w:rsid w:val="00B3708E"/>
    <w:rsid w:val="00B42576"/>
    <w:rsid w:val="00B83BA5"/>
    <w:rsid w:val="00C21659"/>
    <w:rsid w:val="00C429B1"/>
    <w:rsid w:val="00C472A9"/>
    <w:rsid w:val="00DC2A50"/>
    <w:rsid w:val="00DE1267"/>
    <w:rsid w:val="00DF5BE9"/>
    <w:rsid w:val="00F77681"/>
    <w:rsid w:val="00FB3C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5224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2015-03-07T11:49:00Z</dcterms:created>
  <dcterms:modified xsi:type="dcterms:W3CDTF">2015-03-07T11:49:00Z</dcterms:modified>
</cp:coreProperties>
</file>