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Default="006B465B" w:rsidP="002C791E">
      <w:pPr>
        <w:jc w:val="center"/>
        <w:rPr>
          <w:b/>
          <w:sz w:val="24"/>
          <w:szCs w:val="24"/>
        </w:rPr>
      </w:pPr>
      <w:r w:rsidRPr="002C791E">
        <w:rPr>
          <w:b/>
          <w:sz w:val="24"/>
          <w:szCs w:val="24"/>
        </w:rPr>
        <w:t xml:space="preserve"> </w:t>
      </w:r>
      <w:r w:rsidR="002C791E">
        <w:rPr>
          <w:b/>
          <w:sz w:val="24"/>
          <w:szCs w:val="24"/>
        </w:rPr>
        <w:t xml:space="preserve">                 </w:t>
      </w:r>
      <w:r w:rsidR="00B83BA5" w:rsidRPr="002C791E">
        <w:rPr>
          <w:b/>
          <w:sz w:val="24"/>
          <w:szCs w:val="24"/>
        </w:rPr>
        <w:t>ΠΕΡΙΓΡΑΜΜΑ ΜΑΘΗΜΑΤΟΣ</w:t>
      </w:r>
    </w:p>
    <w:p w:rsidR="00EA11B6" w:rsidRPr="00A6403F" w:rsidRDefault="00B555AC" w:rsidP="002C791E">
      <w:pPr>
        <w:jc w:val="center"/>
        <w:rPr>
          <w:rFonts w:ascii="Times New Roman" w:hAnsi="Times New Roman"/>
          <w:sz w:val="24"/>
          <w:szCs w:val="24"/>
        </w:rPr>
      </w:pPr>
      <w:r w:rsidRPr="00D60116">
        <w:rPr>
          <w:sz w:val="24"/>
          <w:szCs w:val="24"/>
        </w:rPr>
        <w:t>Διατμηματικό Πρόγραμμα Μεταπτυχιακών Σπουδών (Δ.Π.Μ.Σ.) με τίτλο «Επιστήμες της Αγωγής: Επαγγελματική Μάθηση κα</w:t>
      </w:r>
      <w:r w:rsidR="00157584" w:rsidRPr="00D60116">
        <w:rPr>
          <w:sz w:val="24"/>
          <w:szCs w:val="24"/>
        </w:rPr>
        <w:t>ι Καινοτομίες στην Εκπαίδευση»</w:t>
      </w:r>
      <w:r w:rsidR="00157584">
        <w:rPr>
          <w:rFonts w:ascii="Times New Roman" w:hAnsi="Times New Roman"/>
          <w:sz w:val="24"/>
          <w:szCs w:val="24"/>
        </w:rPr>
        <w:t xml:space="preserve"> </w:t>
      </w:r>
      <w:r w:rsidR="00D60116">
        <w:rPr>
          <w:rFonts w:ascii="Times New Roman" w:hAnsi="Times New Roman"/>
          <w:sz w:val="24"/>
          <w:szCs w:val="24"/>
        </w:rPr>
        <w:t xml:space="preserve">   </w:t>
      </w:r>
    </w:p>
    <w:tbl>
      <w:tblPr>
        <w:tblStyle w:val="a3"/>
        <w:tblW w:w="10065" w:type="dxa"/>
        <w:tblInd w:w="-743" w:type="dxa"/>
        <w:tblLayout w:type="fixed"/>
        <w:tblLook w:val="04A0"/>
      </w:tblPr>
      <w:tblGrid>
        <w:gridCol w:w="2978"/>
        <w:gridCol w:w="1984"/>
        <w:gridCol w:w="425"/>
        <w:gridCol w:w="2268"/>
        <w:gridCol w:w="142"/>
        <w:gridCol w:w="2268"/>
      </w:tblGrid>
      <w:tr w:rsidR="002C791E" w:rsidTr="00055873">
        <w:tc>
          <w:tcPr>
            <w:tcW w:w="2978" w:type="dxa"/>
            <w:tcBorders>
              <w:top w:val="nil"/>
              <w:left w:val="nil"/>
              <w:right w:val="nil"/>
            </w:tcBorders>
          </w:tcPr>
          <w:p w:rsidR="002C791E" w:rsidRPr="002C791E" w:rsidRDefault="002C791E" w:rsidP="002C791E">
            <w:pPr>
              <w:pStyle w:val="a4"/>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2"/>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Pr="00B555AC" w:rsidRDefault="00B555AC" w:rsidP="00B83BA5">
            <w:pPr>
              <w:jc w:val="center"/>
            </w:pPr>
            <w:r>
              <w:t>Δημοτικής Εκπαίδευσης</w:t>
            </w: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A6403F" w:rsidRDefault="00A6403F" w:rsidP="00B83BA5">
            <w:pPr>
              <w:jc w:val="center"/>
              <w:rPr>
                <w:sz w:val="24"/>
                <w:szCs w:val="24"/>
              </w:rPr>
            </w:pPr>
            <w:r w:rsidRPr="00A6403F">
              <w:rPr>
                <w:sz w:val="24"/>
                <w:szCs w:val="24"/>
              </w:rPr>
              <w:t>Υ5</w:t>
            </w: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Pr="006B465B">
              <w:rPr>
                <w:b/>
              </w:rPr>
              <w:t xml:space="preserve"> </w:t>
            </w:r>
            <w:r w:rsidR="002C791E">
              <w:rPr>
                <w:b/>
              </w:rPr>
              <w:t>Σ</w:t>
            </w:r>
            <w:r w:rsidRPr="006B465B">
              <w:rPr>
                <w:b/>
                <w:lang w:val="en-US"/>
              </w:rPr>
              <w:t>ΠΟΥΔΩΝ</w:t>
            </w:r>
          </w:p>
        </w:tc>
        <w:tc>
          <w:tcPr>
            <w:tcW w:w="2410" w:type="dxa"/>
            <w:gridSpan w:val="2"/>
          </w:tcPr>
          <w:p w:rsidR="00B83BA5" w:rsidRDefault="00A6403F" w:rsidP="00B83BA5">
            <w:pPr>
              <w:jc w:val="center"/>
              <w:rPr>
                <w:lang w:val="en-US"/>
              </w:rPr>
            </w:pPr>
            <w:r>
              <w:rPr>
                <w:lang w:val="en-US"/>
              </w:rPr>
              <w:t>A’</w:t>
            </w: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A6403F" w:rsidRDefault="00A6403F" w:rsidP="00B83BA5">
            <w:pPr>
              <w:jc w:val="center"/>
              <w:rPr>
                <w:sz w:val="24"/>
                <w:szCs w:val="24"/>
              </w:rPr>
            </w:pPr>
            <w:r w:rsidRPr="00A6403F">
              <w:rPr>
                <w:sz w:val="24"/>
                <w:szCs w:val="24"/>
              </w:rPr>
              <w:t>Διαφοροποίηση της διδασκαλίας και μάθησης</w:t>
            </w:r>
          </w:p>
        </w:tc>
        <w:tc>
          <w:tcPr>
            <w:tcW w:w="2268" w:type="dxa"/>
          </w:tcPr>
          <w:p w:rsidR="00B83BA5" w:rsidRPr="003B733E" w:rsidRDefault="00B83BA5" w:rsidP="00B83BA5">
            <w:pPr>
              <w:jc w:val="center"/>
            </w:pPr>
          </w:p>
        </w:tc>
        <w:tc>
          <w:tcPr>
            <w:tcW w:w="2410" w:type="dxa"/>
            <w:gridSpan w:val="2"/>
          </w:tcPr>
          <w:p w:rsidR="00B83BA5" w:rsidRPr="003B733E"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2"/>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2"/>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r w:rsidRPr="006B465B">
              <w:t xml:space="preserve"> </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3"/>
          </w:tcPr>
          <w:p w:rsidR="002C791E" w:rsidRPr="00A6403F" w:rsidRDefault="0055111F" w:rsidP="00FE006F">
            <w:pPr>
              <w:jc w:val="center"/>
              <w:rPr>
                <w:sz w:val="24"/>
                <w:szCs w:val="24"/>
                <w:lang w:val="en-US"/>
              </w:rPr>
            </w:pPr>
            <w:r w:rsidRPr="00A6403F">
              <w:rPr>
                <w:sz w:val="24"/>
                <w:szCs w:val="24"/>
              </w:rPr>
              <w:t>Γενικού Υπ</w:t>
            </w:r>
            <w:r w:rsidR="00FE006F" w:rsidRPr="00A6403F">
              <w:rPr>
                <w:sz w:val="24"/>
                <w:szCs w:val="24"/>
              </w:rPr>
              <w:t>ό</w:t>
            </w:r>
            <w:r w:rsidRPr="00A6403F">
              <w:rPr>
                <w:sz w:val="24"/>
                <w:szCs w:val="24"/>
              </w:rPr>
              <w:t>β</w:t>
            </w:r>
            <w:r w:rsidR="00FE006F" w:rsidRPr="00A6403F">
              <w:rPr>
                <w:sz w:val="24"/>
                <w:szCs w:val="24"/>
              </w:rPr>
              <w:t>α</w:t>
            </w:r>
            <w:r w:rsidRPr="00A6403F">
              <w:rPr>
                <w:sz w:val="24"/>
                <w:szCs w:val="24"/>
              </w:rPr>
              <w:t>θρου</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3"/>
          </w:tcPr>
          <w:p w:rsidR="002C791E" w:rsidRPr="00A6403F" w:rsidRDefault="002C791E" w:rsidP="00B83BA5">
            <w:pPr>
              <w:jc w:val="center"/>
              <w:rPr>
                <w:sz w:val="24"/>
                <w:szCs w:val="24"/>
              </w:rPr>
            </w:pP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3"/>
          </w:tcPr>
          <w:p w:rsidR="002C791E" w:rsidRPr="00A6403F" w:rsidRDefault="003B733E" w:rsidP="00B83BA5">
            <w:pPr>
              <w:jc w:val="center"/>
              <w:rPr>
                <w:sz w:val="24"/>
                <w:szCs w:val="24"/>
              </w:rPr>
            </w:pPr>
            <w:r w:rsidRPr="00A6403F">
              <w:rPr>
                <w:sz w:val="24"/>
                <w:szCs w:val="24"/>
              </w:rPr>
              <w:t>Ελληνικά</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3"/>
          </w:tcPr>
          <w:p w:rsidR="002C791E" w:rsidRPr="00A6403F" w:rsidRDefault="003B733E" w:rsidP="00B83BA5">
            <w:pPr>
              <w:jc w:val="center"/>
              <w:rPr>
                <w:sz w:val="24"/>
                <w:szCs w:val="24"/>
              </w:rPr>
            </w:pPr>
            <w:r w:rsidRPr="00A6403F">
              <w:rPr>
                <w:sz w:val="24"/>
                <w:szCs w:val="24"/>
              </w:rPr>
              <w:t>Ναι</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3"/>
            <w:tcBorders>
              <w:bottom w:val="single" w:sz="4" w:space="0" w:color="auto"/>
            </w:tcBorders>
          </w:tcPr>
          <w:p w:rsidR="002C791E" w:rsidRPr="006B465B"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a4"/>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6"/>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a4"/>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a4"/>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a4"/>
              <w:numPr>
                <w:ilvl w:val="0"/>
                <w:numId w:val="8"/>
              </w:numPr>
            </w:pPr>
            <w:r w:rsidRPr="001F4365">
              <w:t>Περιληπτικός Οδηγός συγγραφής Μαθησιακών Αποτελεσμάτων</w:t>
            </w:r>
          </w:p>
        </w:tc>
      </w:tr>
      <w:tr w:rsidR="001F4365" w:rsidRPr="006B465B" w:rsidTr="00055873">
        <w:tc>
          <w:tcPr>
            <w:tcW w:w="10065" w:type="dxa"/>
            <w:gridSpan w:val="6"/>
            <w:tcBorders>
              <w:bottom w:val="single" w:sz="4" w:space="0" w:color="auto"/>
            </w:tcBorders>
          </w:tcPr>
          <w:p w:rsidR="001F4365" w:rsidRDefault="001F4365" w:rsidP="00B83BA5">
            <w:pPr>
              <w:jc w:val="center"/>
            </w:pPr>
          </w:p>
          <w:p w:rsidR="00C23571" w:rsidRDefault="008A2A6A" w:rsidP="00C23571">
            <w:pPr>
              <w:jc w:val="both"/>
            </w:pPr>
            <w:r w:rsidRPr="00B15FD1">
              <w:t>Με το πέρας των μαθημάτων, ο</w:t>
            </w:r>
            <w:r w:rsidR="00576159" w:rsidRPr="00B15FD1">
              <w:t>ι</w:t>
            </w:r>
            <w:r w:rsidR="00157584" w:rsidRPr="00B15FD1">
              <w:t xml:space="preserve"> φοιτητές </w:t>
            </w:r>
            <w:r w:rsidR="00576159" w:rsidRPr="00B15FD1">
              <w:t xml:space="preserve">αναμένεται να έχουν </w:t>
            </w:r>
            <w:r w:rsidR="00666CAA">
              <w:t>αναπτύξ</w:t>
            </w:r>
            <w:r w:rsidR="00576159" w:rsidRPr="00B15FD1">
              <w:t xml:space="preserve">ει </w:t>
            </w:r>
            <w:r w:rsidR="00CC1075">
              <w:t>μια σειρά από</w:t>
            </w:r>
            <w:r w:rsidR="00666CAA">
              <w:t xml:space="preserve"> γνώσεις, δεξιότητες και ικανότητες</w:t>
            </w:r>
            <w:r w:rsidR="00CC1075">
              <w:t xml:space="preserve"> που θα μπορούσαν να συνοψιστούν στα εξής:</w:t>
            </w:r>
            <w:r w:rsidR="00C23571">
              <w:t xml:space="preserve"> </w:t>
            </w:r>
          </w:p>
          <w:p w:rsidR="00666CAA" w:rsidRDefault="00666CAA" w:rsidP="00C23571">
            <w:pPr>
              <w:pStyle w:val="a4"/>
              <w:numPr>
                <w:ilvl w:val="0"/>
                <w:numId w:val="9"/>
              </w:numPr>
              <w:jc w:val="both"/>
            </w:pPr>
            <w:r>
              <w:t>Να έχουν κατακτήσει ε</w:t>
            </w:r>
            <w:r w:rsidR="00576159" w:rsidRPr="00B15FD1">
              <w:t xml:space="preserve">ξειδικευμένη θεωρητική γνώση στο πεδίο της διαφοροποιημένης διδασκαλίας </w:t>
            </w:r>
            <w:r w:rsidR="008A2A6A" w:rsidRPr="00B15FD1">
              <w:t xml:space="preserve">και να έχουν φτάσει στην κριτική κατανόησή της, ώστε να είναι σε θέση να διασφαλίζουν </w:t>
            </w:r>
            <w:r w:rsidR="00C23571">
              <w:t xml:space="preserve">για </w:t>
            </w:r>
            <w:r w:rsidR="00C23571" w:rsidRPr="00B15FD1">
              <w:t xml:space="preserve">τους </w:t>
            </w:r>
            <w:r w:rsidR="00C23571" w:rsidRPr="00B15FD1">
              <w:lastRenderedPageBreak/>
              <w:t xml:space="preserve">μαθητές </w:t>
            </w:r>
            <w:r w:rsidR="008A2A6A" w:rsidRPr="00B15FD1">
              <w:t xml:space="preserve">μαθησιακές ευκαιρίες </w:t>
            </w:r>
            <w:r w:rsidR="00C23571">
              <w:t>που θα αξιοποιούν</w:t>
            </w:r>
            <w:r w:rsidR="00B15FD1">
              <w:t xml:space="preserve"> τις ιδιαιτερότητές τους και </w:t>
            </w:r>
            <w:r w:rsidR="00C23571">
              <w:t>δεν θ</w:t>
            </w:r>
            <w:r w:rsidR="008A2A6A" w:rsidRPr="00B15FD1">
              <w:t xml:space="preserve">α ενοχοποιούν το διαφορετικό. </w:t>
            </w:r>
          </w:p>
          <w:p w:rsidR="00666CAA" w:rsidRDefault="00666CAA" w:rsidP="00C23571">
            <w:pPr>
              <w:pStyle w:val="a4"/>
              <w:numPr>
                <w:ilvl w:val="0"/>
                <w:numId w:val="9"/>
              </w:numPr>
              <w:jc w:val="both"/>
            </w:pPr>
            <w:r>
              <w:t>Ν</w:t>
            </w:r>
            <w:r w:rsidR="005C36A5" w:rsidRPr="00B15FD1">
              <w:t xml:space="preserve">α έχουν </w:t>
            </w:r>
            <w:r w:rsidR="00576159" w:rsidRPr="00B15FD1">
              <w:t>εξοικειωθεί με προωθημένες στρατηγικές διαφοροποίησης, ώστε να μπορούν να σχεδιάζουν την εκπαιδευτική πράξη με πρωτότυπο και δημιουργικό τρόπο</w:t>
            </w:r>
            <w:r w:rsidR="005C36A5" w:rsidRPr="00B15FD1">
              <w:t xml:space="preserve">, προωθώντας </w:t>
            </w:r>
            <w:r w:rsidR="00586178" w:rsidRPr="00B15FD1">
              <w:t>την ισότητα ευκαιριών και αξιοποιώντας τη μαθησιακή ετοιμότητα, τα στυλ μάθησης, τα ενδιαφέροντα και τις κλίσεις των μαθητών, αλλά και τους πολλαπλούς τύπους νοημοσύνης που διαθέτουν</w:t>
            </w:r>
            <w:r w:rsidR="005C36A5" w:rsidRPr="00B15FD1">
              <w:t>.</w:t>
            </w:r>
            <w:r>
              <w:t xml:space="preserve"> </w:t>
            </w:r>
          </w:p>
          <w:p w:rsidR="00666CAA" w:rsidRDefault="00666CAA" w:rsidP="00C23571">
            <w:pPr>
              <w:pStyle w:val="a4"/>
              <w:numPr>
                <w:ilvl w:val="0"/>
                <w:numId w:val="9"/>
              </w:numPr>
              <w:jc w:val="both"/>
            </w:pPr>
            <w:r>
              <w:t>Ν</w:t>
            </w:r>
            <w:r w:rsidR="00576159" w:rsidRPr="00B15FD1">
              <w:t>α μπορούν να εφαρμόζουν αναλυτικές διαδικασίες έρευνας επάνω στις πρακτικές διαφοροποίησης που θα αναπτύσσουν,</w:t>
            </w:r>
            <w:r w:rsidR="00BA4201" w:rsidRPr="00B15FD1">
              <w:t xml:space="preserve"> ενεργοπ</w:t>
            </w:r>
            <w:r w:rsidR="00385CDB" w:rsidRPr="00B15FD1">
              <w:t>οιώντας αναστοχαστικές και μετα</w:t>
            </w:r>
            <w:r w:rsidR="00BA4201" w:rsidRPr="00B15FD1">
              <w:t xml:space="preserve">γνωστικές διαδικασίες </w:t>
            </w:r>
            <w:r w:rsidR="00385CDB" w:rsidRPr="00B15FD1">
              <w:t>που προωθούν</w:t>
            </w:r>
            <w:r w:rsidR="00576159" w:rsidRPr="00B15FD1">
              <w:t xml:space="preserve"> την επαγγελματική τους αυτονομία και χειραφέτηση.</w:t>
            </w:r>
            <w:r w:rsidR="00385CDB" w:rsidRPr="00B15FD1">
              <w:t xml:space="preserve"> </w:t>
            </w:r>
          </w:p>
          <w:p w:rsidR="00666CAA" w:rsidRDefault="00666CAA" w:rsidP="00C23571">
            <w:pPr>
              <w:pStyle w:val="a4"/>
              <w:numPr>
                <w:ilvl w:val="0"/>
                <w:numId w:val="9"/>
              </w:numPr>
              <w:jc w:val="both"/>
            </w:pPr>
            <w:r>
              <w:t xml:space="preserve">Να </w:t>
            </w:r>
            <w:r w:rsidR="00385CDB" w:rsidRPr="00B15FD1">
              <w:t xml:space="preserve">μπορούν να εφαρμόζουν διαθεματικές δραστηριότητες διαφοροποιημένης διδασκαλίας συνεργαζόμενοι με άλλους συναδέλφους τους σε επίπεδο πρακτικό και ερευνητικό· να μπορούν δηλαδή, για παράδειγμα, να εντάξουν </w:t>
            </w:r>
            <w:r w:rsidR="008D27A6" w:rsidRPr="00B15FD1">
              <w:t>την αυθεντική μάθηση στην προοπτική της</w:t>
            </w:r>
            <w:r w:rsidR="00385CDB" w:rsidRPr="00B15FD1">
              <w:t xml:space="preserve"> γλωσσικής ενδυνάμωσης, </w:t>
            </w:r>
            <w:r w:rsidR="008D27A6" w:rsidRPr="00B15FD1">
              <w:t xml:space="preserve">της κριτικής σκέψης, της </w:t>
            </w:r>
            <w:r w:rsidR="00385CDB" w:rsidRPr="00B15FD1">
              <w:t>ηθικής ανάπτυξης</w:t>
            </w:r>
            <w:r w:rsidR="008D27A6" w:rsidRPr="00B15FD1">
              <w:t xml:space="preserve">, </w:t>
            </w:r>
            <w:r w:rsidR="00B15FD1">
              <w:t xml:space="preserve">της συναισθηματικής νοημοσύνης, </w:t>
            </w:r>
            <w:r w:rsidR="008D27A6" w:rsidRPr="00B15FD1">
              <w:t>της διαπολιτισμικής εκπαίδευσης</w:t>
            </w:r>
            <w:r w:rsidR="00385CDB" w:rsidRPr="00B15FD1">
              <w:t xml:space="preserve"> ή </w:t>
            </w:r>
            <w:r w:rsidR="008D27A6" w:rsidRPr="00B15FD1">
              <w:t xml:space="preserve">της </w:t>
            </w:r>
            <w:r w:rsidR="00385CDB" w:rsidRPr="00B15FD1">
              <w:t xml:space="preserve">περιβαλλοντικής ευαισθητοποίησης </w:t>
            </w:r>
            <w:r w:rsidR="008D27A6" w:rsidRPr="00B15FD1">
              <w:t xml:space="preserve">των μαθητών εστιάζοντας σε διδακτικά σενάρια που αντλούν τη θεματολογία τους από την πραγματική ζωή. </w:t>
            </w:r>
          </w:p>
          <w:p w:rsidR="00666CAA" w:rsidRDefault="00666CAA" w:rsidP="00C23571">
            <w:pPr>
              <w:pStyle w:val="a4"/>
              <w:numPr>
                <w:ilvl w:val="0"/>
                <w:numId w:val="9"/>
              </w:numPr>
              <w:jc w:val="both"/>
            </w:pPr>
            <w:r>
              <w:t xml:space="preserve">Να </w:t>
            </w:r>
            <w:r w:rsidR="003D1BA9" w:rsidRPr="00B15FD1">
              <w:t xml:space="preserve">μπορούν να αναπτύσσουν </w:t>
            </w:r>
            <w:r w:rsidR="0046706B" w:rsidRPr="00B15FD1">
              <w:t xml:space="preserve">την κατάλληλη επιχειρηματολογία με σαφή, επαρκή και ακριβή τρόπο σχετικά με τις </w:t>
            </w:r>
            <w:r w:rsidR="00B15FD1">
              <w:t>επιλογές των πρακτικών</w:t>
            </w:r>
            <w:r w:rsidR="0046706B" w:rsidRPr="00B15FD1">
              <w:t xml:space="preserve"> </w:t>
            </w:r>
            <w:r w:rsidR="00B15FD1">
              <w:t xml:space="preserve">τους στο πλαίσιο της </w:t>
            </w:r>
            <w:r w:rsidR="0046706B" w:rsidRPr="00B15FD1">
              <w:t>διαφοροποιημένη</w:t>
            </w:r>
            <w:r w:rsidR="00B15FD1">
              <w:t>ς διδασκαλίας.</w:t>
            </w:r>
          </w:p>
          <w:p w:rsidR="00666CAA" w:rsidRDefault="00666CAA" w:rsidP="00C23571">
            <w:pPr>
              <w:pStyle w:val="a4"/>
              <w:numPr>
                <w:ilvl w:val="0"/>
                <w:numId w:val="9"/>
              </w:numPr>
              <w:jc w:val="both"/>
            </w:pPr>
            <w:r>
              <w:t>Ν</w:t>
            </w:r>
            <w:r w:rsidR="00B15FD1">
              <w:t>α μπορούν να διαχειρίζονται και να μετασχηματίζουν περιβάλλοντα μάθησης που είναι σύνθετα, απρόβλεπτα και απαιτούν ποικίλες στρατηγικές προσεγγίσεις</w:t>
            </w:r>
            <w:r>
              <w:t>.</w:t>
            </w:r>
          </w:p>
          <w:p w:rsidR="00666CAA" w:rsidRDefault="00666CAA" w:rsidP="00C23571">
            <w:pPr>
              <w:pStyle w:val="a4"/>
              <w:numPr>
                <w:ilvl w:val="0"/>
                <w:numId w:val="9"/>
              </w:numPr>
              <w:jc w:val="both"/>
            </w:pPr>
            <w:r>
              <w:t>Ν</w:t>
            </w:r>
            <w:r w:rsidR="00B15FD1">
              <w:t xml:space="preserve">α </w:t>
            </w:r>
            <w:r w:rsidR="00C23571">
              <w:t>μπορούν να ανταποκριθούν στη διαχείριση κρίσεων στο περιβάλλον της τάξης και του σχολείου, εφαρμόζοντας τις αρχές της διαφοροποίησης</w:t>
            </w:r>
            <w:r>
              <w:t xml:space="preserve">. </w:t>
            </w:r>
          </w:p>
          <w:p w:rsidR="00576159" w:rsidRPr="00C23571" w:rsidRDefault="00666CAA" w:rsidP="00C23571">
            <w:pPr>
              <w:pStyle w:val="a4"/>
              <w:numPr>
                <w:ilvl w:val="0"/>
                <w:numId w:val="9"/>
              </w:numPr>
              <w:jc w:val="both"/>
            </w:pPr>
            <w:r>
              <w:t>Τ</w:t>
            </w:r>
            <w:r w:rsidR="00C23571">
              <w:t xml:space="preserve">έλος, να μπορούν να αναλάβουν την ευθύνη για διάχυση της γνώσης τους σε άλλες ομάδες και να αξιολογούν την αποτελεσματικότητα εφαρμογής της γνώσης αυτής σε περιβάλλοντα όπου η διαφοροποίηση της </w:t>
            </w:r>
            <w:r w:rsidR="00C23571" w:rsidRPr="00C23571">
              <w:t xml:space="preserve">διδασκαλίας είναι η πλέον ενδεδειγμένη. </w:t>
            </w:r>
            <w:r w:rsidR="00B15FD1" w:rsidRPr="00C23571">
              <w:t xml:space="preserve">  </w:t>
            </w:r>
          </w:p>
          <w:p w:rsidR="00C23571" w:rsidRPr="00C23571" w:rsidRDefault="00C23571" w:rsidP="00C23571">
            <w:pPr>
              <w:jc w:val="both"/>
            </w:pPr>
            <w:r w:rsidRPr="00C23571">
              <w:t xml:space="preserve">Συνολικότερα, οι εκπαιδευόμενοι αναμένεται να αναπτύξουν γνώσεις, δεξιότητες και ικανότητες που θα τους κάνουν αυτοδύναμους, ευέλικτους και ευφάνταστους </w:t>
            </w:r>
            <w:r w:rsidR="00666CAA">
              <w:t>στην εφαρμογή στρατηγικών για τη</w:t>
            </w:r>
            <w:r w:rsidRPr="00C23571">
              <w:t xml:space="preserve"> διαφοροποίηση της διδασκαλίας, αλλά και πρόθυμους και ικανούς να </w:t>
            </w:r>
            <w:r w:rsidR="00666CAA">
              <w:t xml:space="preserve">ερευνούν το έργο τους, να </w:t>
            </w:r>
            <w:r w:rsidRPr="00C23571">
              <w:t>αναστοχάζονται και να βελτιώνουν τις πρακτικές τους.</w:t>
            </w:r>
          </w:p>
          <w:p w:rsidR="00576159" w:rsidRDefault="00576159" w:rsidP="00157584">
            <w:pPr>
              <w:jc w:val="center"/>
              <w:rPr>
                <w:color w:val="FF0000"/>
              </w:rPr>
            </w:pPr>
          </w:p>
          <w:p w:rsidR="001F4365" w:rsidRPr="006B465B" w:rsidRDefault="001F4365" w:rsidP="00B83BA5">
            <w:pPr>
              <w:jc w:val="center"/>
            </w:pPr>
          </w:p>
        </w:tc>
      </w:tr>
      <w:tr w:rsidR="001F4365" w:rsidRPr="006B465B" w:rsidTr="00215975">
        <w:tc>
          <w:tcPr>
            <w:tcW w:w="10065" w:type="dxa"/>
            <w:gridSpan w:val="6"/>
            <w:tcBorders>
              <w:bottom w:val="nil"/>
            </w:tcBorders>
            <w:shd w:val="clear" w:color="auto" w:fill="DDD9C3" w:themeFill="background2" w:themeFillShade="E6"/>
          </w:tcPr>
          <w:p w:rsidR="001F4365" w:rsidRDefault="001F4365" w:rsidP="001F4365">
            <w:r w:rsidRPr="001F4365">
              <w:rPr>
                <w:b/>
              </w:rPr>
              <w:lastRenderedPageBreak/>
              <w:t>Γενικές Ικανότητες</w:t>
            </w:r>
            <w:r w:rsidRPr="001F4365">
              <w:t xml:space="preserve"> </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r w:rsidRPr="001F4365">
                    <w:rPr>
                      <w:b/>
                      <w:i/>
                      <w:iCs/>
                    </w:rPr>
                    <w:t xml:space="preserve"> </w:t>
                  </w:r>
                </w:p>
              </w:tc>
            </w:tr>
          </w:tbl>
          <w:p w:rsidR="001F4365" w:rsidRPr="002C791E"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πολυπολιτισμικότητα </w:t>
                  </w:r>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6"/>
            <w:tcBorders>
              <w:bottom w:val="single" w:sz="4" w:space="0" w:color="auto"/>
            </w:tcBorders>
          </w:tcPr>
          <w:p w:rsidR="001F4365" w:rsidRDefault="001F4365" w:rsidP="00B83BA5">
            <w:pPr>
              <w:jc w:val="center"/>
            </w:pPr>
          </w:p>
          <w:p w:rsidR="001F4365" w:rsidRPr="005C24DC" w:rsidRDefault="003E4CD6" w:rsidP="003E4CD6">
            <w:pPr>
              <w:jc w:val="both"/>
            </w:pPr>
            <w:r w:rsidRPr="005C24DC">
              <w:rPr>
                <w:rFonts w:cs="Calibri"/>
              </w:rPr>
              <w:t xml:space="preserve">Στο μάθημα οι φοιτητές καλούνται να αναζητήσουν, να αναλύσουν και να συνθέσουν πληροφορίες από τη βιβλιογραφία και το διαδίκτυο, καθώς και να εφαρμόσουν τα αποτελέσματα αυτής της αναζήτησης και επεξεργασίας σε περιστάσεις διαφοροποιημένης διδασκαλίας και μάθησης. Δουλεύουν ατομικά ή ομαδικά, αξιοποιώντας διαθεματικές/διεπιστημονικές προσεγγίσεις, όπως ταιριάζει σε έναν σύγχρονο, πολυδύναμο εκπαιδευτικό. Καλούνται να διατυπώσουν ιδέες για τη μελέτη της διδακτικής διαδικασίας με σύγχρονους όρους, αλλά και να ασκήσουν κριτική και αυτοκριτική για τις εργασίες που εκπονούν στο μάθημα. Σε ό,τι αφορά το περιεχόμενο του μαθήματος, αλλά και τις μεθόδους προσέγγισής του, επιδιώκεται πάντα ο σεβασμός </w:t>
            </w:r>
            <w:r w:rsidR="00A6403F">
              <w:rPr>
                <w:rFonts w:cs="Calibri"/>
              </w:rPr>
              <w:t xml:space="preserve">απέναντι </w:t>
            </w:r>
            <w:r w:rsidRPr="005C24DC">
              <w:rPr>
                <w:rFonts w:cs="Calibri"/>
              </w:rPr>
              <w:t>στη διαφορετικότητα και την πολυπολιτισμικότητα των εκπαιδευομένων, κάτι που είναι σύμφυτο με την ίδια τη φιλοσοφία</w:t>
            </w:r>
            <w:r w:rsidR="00A6403F">
              <w:rPr>
                <w:rFonts w:cs="Calibri"/>
              </w:rPr>
              <w:t>, το περιεχόμενο και τη σκοπιμότητα</w:t>
            </w:r>
            <w:r w:rsidRPr="005C24DC">
              <w:rPr>
                <w:rFonts w:cs="Calibri"/>
              </w:rPr>
              <w:t xml:space="preserve"> του μαθήματος. Επίσης επιδιώκεται ο σεβασμός στο φυσικό περιβάλλον, αλλά και η επίδειξη κοινωνικής και ηθικής ευαισθησίας σε θέματα φύλου. Έμφαση δίνεται στην ανάπτυξη της κριτικής σκέψης προς την κατεύθυνση της δημιουργικότητας, υπό το πρίσμα πάντα των αξιώσεων εγκυρότητας που απαιτεί το επάγγελμα του εκπαιδευτικού. Σημειώνεται ότι το περιεχόμενο του μαθήματος </w:t>
            </w:r>
            <w:r w:rsidR="00A6403F">
              <w:rPr>
                <w:rFonts w:cs="Calibri"/>
              </w:rPr>
              <w:t>αφορά σε</w:t>
            </w:r>
            <w:r w:rsidRPr="005C24DC">
              <w:rPr>
                <w:rFonts w:cs="Calibri"/>
              </w:rPr>
              <w:t xml:space="preserve"> θέματα που υπερβαίνουν τα όρια του σχολείου, καθώς αναφέρεται και σε διαδικασίες </w:t>
            </w:r>
            <w:r w:rsidR="00DD0A70" w:rsidRPr="005C24DC">
              <w:rPr>
                <w:rFonts w:cs="Calibri"/>
              </w:rPr>
              <w:t xml:space="preserve">διαφοροποιημένης διδασκαλίας στο πλαίσιο της </w:t>
            </w:r>
            <w:r w:rsidRPr="005C24DC">
              <w:rPr>
                <w:rFonts w:cs="Calibri"/>
              </w:rPr>
              <w:t>διαβίου μάθησης.</w:t>
            </w:r>
          </w:p>
          <w:p w:rsidR="001F4365" w:rsidRPr="006B465B" w:rsidRDefault="001F4365"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ΠΕΡΙΕΧΟΜΕΝΟ ΜΑΘΗΜΑΤΟΣ</w:t>
            </w:r>
          </w:p>
        </w:tc>
      </w:tr>
      <w:tr w:rsidR="00055873" w:rsidRPr="006B465B" w:rsidTr="00215975">
        <w:tc>
          <w:tcPr>
            <w:tcW w:w="10065" w:type="dxa"/>
            <w:gridSpan w:val="6"/>
            <w:tcBorders>
              <w:bottom w:val="single" w:sz="4" w:space="0" w:color="auto"/>
            </w:tcBorders>
          </w:tcPr>
          <w:p w:rsidR="00243F5A" w:rsidRPr="00243F5A" w:rsidRDefault="00243F5A" w:rsidP="00243F5A">
            <w:r w:rsidRPr="00243F5A">
              <w:t>Τα χαρα</w:t>
            </w:r>
            <w:r>
              <w:t xml:space="preserve">κτηριστικά της μετανεωτερικότητας στα Αναλυτικά Προγράμματα. Η διαφοροποίηση ως διάσταση της μετανεωτερικής αντίληψης </w:t>
            </w:r>
            <w:r w:rsidR="002C5CBD">
              <w:t xml:space="preserve">για </w:t>
            </w:r>
            <w:r>
              <w:t>τη διδασκαλία.</w:t>
            </w:r>
            <w:r w:rsidR="00DC4DFB">
              <w:t xml:space="preserve"> Θεωρητικές παραδοχές, αρχές και χαρακτηριστικά της διαφοροποιημένης παιδαγωγικής. </w:t>
            </w:r>
            <w:r>
              <w:t xml:space="preserve"> Συνιστώσες της διαφοροποίησης. Διαφοροποιήσεις στο σχολικό περιβάλλον. Διαστάσεις της διαφοροποίησης (οργανωτική – παιδαγωγική). Τα επίπεδα ετοιμότητας των μαθητών και οι διαδικασίες εποικοδόμησης της γνώσης. Η πολλαπλοί τύποι νοημοσύνης και τα γνωστικά/μαθησιακά στυλ των μαθητών. Κανάλια μάθησης και είδη διαφοροποίησης της διδασκαλίας. </w:t>
            </w:r>
            <w:r w:rsidR="002C5CBD">
              <w:t xml:space="preserve">Διαφοροποίηση και αυθεντική μάθηση. </w:t>
            </w:r>
            <w:r w:rsidR="00F722CF">
              <w:t xml:space="preserve">Διαφοροποίηση και ΤΠΕ. </w:t>
            </w:r>
            <w:r>
              <w:t xml:space="preserve">Διαδικασίες </w:t>
            </w:r>
            <w:r w:rsidR="00E5398F">
              <w:t xml:space="preserve">για την </w:t>
            </w:r>
            <w:r>
              <w:t>οργάνωση και αξιολόγηση</w:t>
            </w:r>
            <w:r w:rsidR="00E5398F">
              <w:t xml:space="preserve"> της αποτελεσματικότητας</w:t>
            </w:r>
            <w:r>
              <w:t xml:space="preserve"> </w:t>
            </w:r>
            <w:r w:rsidR="00A6403F">
              <w:t>των διαδικασιών διαφοροποίησης</w:t>
            </w:r>
            <w:r>
              <w:t xml:space="preserve">. </w:t>
            </w:r>
            <w:r w:rsidR="00DC4DFB">
              <w:t>Στρατηγικές ανάδειξης των νοητικών παραστάσεων των μαθητών. Παιδαγωγικοί και διδακτικοί χειρισμοί για τη διαμόρφωση ενός πλαισίου διαφοροποιημένης διδασκαλίας. Στρατηγικές διαφοροποίησης της διδασκαλίας: μοντέλα ανάπτυξη</w:t>
            </w:r>
            <w:r w:rsidR="002C5CBD">
              <w:t>ς</w:t>
            </w:r>
            <w:r w:rsidR="00DC4DFB">
              <w:t xml:space="preserve"> της κριτικής σκέψης, εννοιολογική χαρτογράφηση,</w:t>
            </w:r>
            <w:r w:rsidR="00202F1F">
              <w:t xml:space="preserve"> δημιουργία διδακτικών σεναρίων, </w:t>
            </w:r>
            <w:r w:rsidR="002C5CBD">
              <w:t xml:space="preserve">αξιοποίηση των πολυγραμματισμών, παιχνίδι ρόλων, αξιοποίηση της δημιουργικής σκέψης, </w:t>
            </w:r>
            <w:r w:rsidR="00A6403F">
              <w:t>ανάπτυξ</w:t>
            </w:r>
            <w:r w:rsidR="002C5CBD">
              <w:t>η της συναισθηματικής νοημοσύνης, ενδυνάμωση της ψυχικής ανθεκτικότητας, στρατηγικές αξιοποίησης του ιστορικού χώρου</w:t>
            </w:r>
            <w:r w:rsidR="00DC4DFB">
              <w:t xml:space="preserve">. </w:t>
            </w:r>
            <w:r>
              <w:t xml:space="preserve">Προετοιμασία του εκπαιδευτικού για τη διαφοροποίηση της διδασκαλίας. Διαδικασίες αναστοχασμού και μεταγνωστικές δεξιότητες </w:t>
            </w:r>
            <w:r w:rsidR="00A6403F">
              <w:t xml:space="preserve">του εκπαιδευτικού και </w:t>
            </w:r>
            <w:r>
              <w:t xml:space="preserve">των μαθητών. </w:t>
            </w:r>
          </w:p>
          <w:p w:rsidR="00243F5A" w:rsidRDefault="00243F5A" w:rsidP="00B83BA5">
            <w:pPr>
              <w:jc w:val="center"/>
              <w:rPr>
                <w:color w:val="FF0000"/>
              </w:rPr>
            </w:pPr>
          </w:p>
          <w:p w:rsidR="002609E6" w:rsidRPr="006B465B" w:rsidRDefault="002609E6"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4"/>
          </w:tcPr>
          <w:p w:rsidR="00055873" w:rsidRPr="006B465B" w:rsidRDefault="00557646" w:rsidP="00B83BA5">
            <w:pPr>
              <w:jc w:val="center"/>
            </w:pPr>
            <w:r>
              <w:t>Πρόσωπο με πρόσωπο</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4"/>
          </w:tcPr>
          <w:p w:rsidR="00055873" w:rsidRPr="005C24DC" w:rsidRDefault="00D74DB5" w:rsidP="00E5398F">
            <w:pPr>
              <w:jc w:val="both"/>
            </w:pPr>
            <w:r w:rsidRPr="005C24DC">
              <w:t xml:space="preserve">Χρησιμοποιείται </w:t>
            </w:r>
            <w:r w:rsidR="00E5398F">
              <w:t>προβολικό σύστημα</w:t>
            </w:r>
            <w:r w:rsidRPr="005C24DC">
              <w:t xml:space="preserve"> για την παρουσίαση διαφανειών (</w:t>
            </w:r>
            <w:r w:rsidR="002C5CBD" w:rsidRPr="005C24DC">
              <w:t xml:space="preserve">είτε </w:t>
            </w:r>
            <w:r w:rsidR="00E5398F">
              <w:t>στις διαλέξεις</w:t>
            </w:r>
            <w:r w:rsidRPr="005C24DC">
              <w:t xml:space="preserve"> της διδάσκουσας </w:t>
            </w:r>
            <w:r w:rsidR="002C5CBD" w:rsidRPr="005C24DC">
              <w:t xml:space="preserve">είτε </w:t>
            </w:r>
            <w:r w:rsidR="00E5398F">
              <w:t xml:space="preserve">στις </w:t>
            </w:r>
            <w:r w:rsidRPr="005C24DC">
              <w:t>εργασίες των φοιτητών). Επίσης, γίνεται σύνδεση με το διαδίκτυο όταν χρειάζεται.</w:t>
            </w:r>
            <w:r w:rsidR="00E5398F">
              <w:t xml:space="preserve"> Η επικοινωνία με τους φοιτητές γίνεται δια ζώσης (σε ώρες συνεργασίας στο γραφείο) και ηλεκτρονικά· στην περίπτωση αυτή διευκολύνεται και από τα μέσα κοινωνικής δικτύωσης.</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835" w:type="dxa"/>
            <w:gridSpan w:val="3"/>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268"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tc>
        <w:tc>
          <w:tcPr>
            <w:tcW w:w="2835" w:type="dxa"/>
            <w:gridSpan w:val="3"/>
          </w:tcPr>
          <w:p w:rsidR="00C472A9" w:rsidRPr="00557646" w:rsidRDefault="002C5CBD" w:rsidP="00B83BA5">
            <w:pPr>
              <w:jc w:val="center"/>
            </w:pPr>
            <w:r>
              <w:t>Διαλέξεις</w:t>
            </w:r>
          </w:p>
        </w:tc>
        <w:tc>
          <w:tcPr>
            <w:tcW w:w="2268" w:type="dxa"/>
          </w:tcPr>
          <w:p w:rsidR="00C472A9" w:rsidRPr="006B465B" w:rsidRDefault="005C24DC" w:rsidP="00B83BA5">
            <w:pPr>
              <w:jc w:val="center"/>
            </w:pPr>
            <w:r>
              <w:t>18</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2C5CBD" w:rsidP="00B83BA5">
            <w:pPr>
              <w:jc w:val="center"/>
            </w:pPr>
            <w:r>
              <w:t>Σεμινάριο</w:t>
            </w:r>
          </w:p>
        </w:tc>
        <w:tc>
          <w:tcPr>
            <w:tcW w:w="2268" w:type="dxa"/>
          </w:tcPr>
          <w:p w:rsidR="00C472A9" w:rsidRPr="006B465B" w:rsidRDefault="005C24DC" w:rsidP="00B83BA5">
            <w:pPr>
              <w:jc w:val="center"/>
            </w:pPr>
            <w:r>
              <w:t xml:space="preserve">   3</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5C24DC" w:rsidP="00B83BA5">
            <w:pPr>
              <w:jc w:val="center"/>
            </w:pPr>
            <w:r>
              <w:t xml:space="preserve">Προετοιμασία για εκπόνηση εργασιών. Μελέτη </w:t>
            </w:r>
            <w:r w:rsidR="00BB28A7">
              <w:t xml:space="preserve">της </w:t>
            </w:r>
            <w:r>
              <w:t>βιβλιογραφίας</w:t>
            </w:r>
            <w:r w:rsidR="00BB28A7">
              <w:t>.</w:t>
            </w:r>
          </w:p>
        </w:tc>
        <w:tc>
          <w:tcPr>
            <w:tcW w:w="2268" w:type="dxa"/>
          </w:tcPr>
          <w:p w:rsidR="00C472A9" w:rsidRPr="006B465B" w:rsidRDefault="005C24DC" w:rsidP="00B83BA5">
            <w:pPr>
              <w:jc w:val="center"/>
            </w:pPr>
            <w:r>
              <w:t>80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5C24DC" w:rsidRDefault="005C24DC" w:rsidP="00B83BA5">
            <w:pPr>
              <w:jc w:val="center"/>
            </w:pPr>
            <w:r>
              <w:t xml:space="preserve">Συνεργασία </w:t>
            </w:r>
            <w:r w:rsidR="00BB28A7">
              <w:t xml:space="preserve">με την διδάσκουσα και </w:t>
            </w:r>
          </w:p>
          <w:p w:rsidR="00C472A9" w:rsidRPr="006B465B" w:rsidRDefault="005C24DC" w:rsidP="00BB28A7">
            <w:pPr>
              <w:jc w:val="center"/>
            </w:pPr>
            <w:r>
              <w:t>μεταξύ των μελών των ομάδων</w:t>
            </w:r>
            <w:r w:rsidR="00BB28A7">
              <w:t>.</w:t>
            </w:r>
          </w:p>
        </w:tc>
        <w:tc>
          <w:tcPr>
            <w:tcW w:w="2268" w:type="dxa"/>
          </w:tcPr>
          <w:p w:rsidR="00C472A9" w:rsidRPr="006B465B" w:rsidRDefault="005C24DC" w:rsidP="00B83BA5">
            <w:pPr>
              <w:jc w:val="center"/>
            </w:pPr>
            <w:r>
              <w:t>40</w:t>
            </w:r>
          </w:p>
        </w:tc>
      </w:tr>
      <w:tr w:rsidR="005C24DC" w:rsidRPr="006B465B" w:rsidTr="00215975">
        <w:tc>
          <w:tcPr>
            <w:tcW w:w="4962" w:type="dxa"/>
            <w:gridSpan w:val="2"/>
            <w:vMerge/>
            <w:shd w:val="clear" w:color="auto" w:fill="DDD9C3" w:themeFill="background2" w:themeFillShade="E6"/>
          </w:tcPr>
          <w:p w:rsidR="005C24DC" w:rsidRPr="00C472A9" w:rsidRDefault="005C24DC" w:rsidP="002C791E">
            <w:pPr>
              <w:jc w:val="right"/>
            </w:pPr>
          </w:p>
        </w:tc>
        <w:tc>
          <w:tcPr>
            <w:tcW w:w="2835" w:type="dxa"/>
            <w:gridSpan w:val="3"/>
          </w:tcPr>
          <w:p w:rsidR="005C24DC" w:rsidRPr="006B465B" w:rsidRDefault="005C24DC" w:rsidP="00845214">
            <w:pPr>
              <w:jc w:val="center"/>
            </w:pPr>
            <w:r>
              <w:t>Παρουσιάσεις εργασιών-συζήτηση</w:t>
            </w:r>
          </w:p>
        </w:tc>
        <w:tc>
          <w:tcPr>
            <w:tcW w:w="2268" w:type="dxa"/>
          </w:tcPr>
          <w:p w:rsidR="005C24DC" w:rsidRPr="006B465B" w:rsidRDefault="005C24DC" w:rsidP="00845214">
            <w:pPr>
              <w:jc w:val="center"/>
            </w:pPr>
            <w:r>
              <w:t>18</w:t>
            </w:r>
          </w:p>
        </w:tc>
      </w:tr>
      <w:tr w:rsidR="005C24DC" w:rsidRPr="006B465B" w:rsidTr="00215975">
        <w:tc>
          <w:tcPr>
            <w:tcW w:w="4962" w:type="dxa"/>
            <w:gridSpan w:val="2"/>
            <w:vMerge/>
            <w:shd w:val="clear" w:color="auto" w:fill="DDD9C3" w:themeFill="background2" w:themeFillShade="E6"/>
          </w:tcPr>
          <w:p w:rsidR="005C24DC" w:rsidRPr="00C472A9" w:rsidRDefault="005C24DC" w:rsidP="002C791E">
            <w:pPr>
              <w:jc w:val="right"/>
            </w:pPr>
          </w:p>
        </w:tc>
        <w:tc>
          <w:tcPr>
            <w:tcW w:w="2835" w:type="dxa"/>
            <w:gridSpan w:val="3"/>
          </w:tcPr>
          <w:p w:rsidR="005C24DC" w:rsidRPr="006B465B" w:rsidRDefault="005C24DC" w:rsidP="005C24DC">
            <w:pPr>
              <w:jc w:val="center"/>
            </w:pPr>
            <w:r>
              <w:t>Προετοιμασία για γραπτή εξέταση</w:t>
            </w:r>
          </w:p>
        </w:tc>
        <w:tc>
          <w:tcPr>
            <w:tcW w:w="2268" w:type="dxa"/>
          </w:tcPr>
          <w:p w:rsidR="005C24DC" w:rsidRPr="006B465B" w:rsidRDefault="005C24DC" w:rsidP="00B83BA5">
            <w:pPr>
              <w:jc w:val="center"/>
            </w:pPr>
            <w:r>
              <w:t>88</w:t>
            </w:r>
          </w:p>
        </w:tc>
      </w:tr>
      <w:tr w:rsidR="005C24DC" w:rsidRPr="006B465B" w:rsidTr="00215975">
        <w:tc>
          <w:tcPr>
            <w:tcW w:w="4962" w:type="dxa"/>
            <w:gridSpan w:val="2"/>
            <w:vMerge/>
            <w:shd w:val="clear" w:color="auto" w:fill="DDD9C3" w:themeFill="background2" w:themeFillShade="E6"/>
          </w:tcPr>
          <w:p w:rsidR="005C24DC" w:rsidRPr="00C472A9" w:rsidRDefault="005C24DC" w:rsidP="002C791E">
            <w:pPr>
              <w:jc w:val="right"/>
            </w:pPr>
          </w:p>
        </w:tc>
        <w:tc>
          <w:tcPr>
            <w:tcW w:w="2835" w:type="dxa"/>
            <w:gridSpan w:val="3"/>
          </w:tcPr>
          <w:p w:rsidR="005C24DC" w:rsidRPr="006B465B" w:rsidRDefault="005C24DC" w:rsidP="00B83BA5">
            <w:pPr>
              <w:jc w:val="center"/>
            </w:pPr>
            <w:r>
              <w:t>Γραπτή εξέταση</w:t>
            </w:r>
          </w:p>
        </w:tc>
        <w:tc>
          <w:tcPr>
            <w:tcW w:w="2268" w:type="dxa"/>
          </w:tcPr>
          <w:p w:rsidR="005C24DC" w:rsidRPr="006B465B" w:rsidRDefault="005C24DC" w:rsidP="00B83BA5">
            <w:pPr>
              <w:jc w:val="center"/>
            </w:pPr>
            <w:r>
              <w:t>3</w:t>
            </w:r>
          </w:p>
        </w:tc>
      </w:tr>
      <w:tr w:rsidR="005C24DC" w:rsidRPr="006B465B" w:rsidTr="00215975">
        <w:tc>
          <w:tcPr>
            <w:tcW w:w="4962" w:type="dxa"/>
            <w:gridSpan w:val="2"/>
            <w:vMerge w:val="restart"/>
            <w:shd w:val="clear" w:color="auto" w:fill="DDD9C3" w:themeFill="background2" w:themeFillShade="E6"/>
          </w:tcPr>
          <w:p w:rsidR="005C24DC" w:rsidRPr="00C472A9" w:rsidRDefault="005C24DC" w:rsidP="00C472A9">
            <w:pPr>
              <w:jc w:val="both"/>
              <w:rPr>
                <w:i/>
              </w:rPr>
            </w:pPr>
            <w:r w:rsidRPr="00C472A9">
              <w:rPr>
                <w: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35" w:type="dxa"/>
            <w:gridSpan w:val="3"/>
          </w:tcPr>
          <w:p w:rsidR="005C24DC" w:rsidRPr="006B465B" w:rsidRDefault="005C24DC" w:rsidP="00B83BA5">
            <w:pPr>
              <w:jc w:val="center"/>
            </w:pPr>
          </w:p>
        </w:tc>
        <w:tc>
          <w:tcPr>
            <w:tcW w:w="2268" w:type="dxa"/>
          </w:tcPr>
          <w:p w:rsidR="005C24DC" w:rsidRPr="006B465B" w:rsidRDefault="005C24DC" w:rsidP="00B83BA5">
            <w:pPr>
              <w:jc w:val="center"/>
            </w:pPr>
          </w:p>
        </w:tc>
      </w:tr>
      <w:tr w:rsidR="005C24DC" w:rsidRPr="006B465B" w:rsidTr="00215975">
        <w:tc>
          <w:tcPr>
            <w:tcW w:w="4962" w:type="dxa"/>
            <w:gridSpan w:val="2"/>
            <w:vMerge/>
            <w:shd w:val="clear" w:color="auto" w:fill="DDD9C3" w:themeFill="background2" w:themeFillShade="E6"/>
          </w:tcPr>
          <w:p w:rsidR="005C24DC" w:rsidRPr="002C791E" w:rsidRDefault="005C24DC" w:rsidP="002C791E">
            <w:pPr>
              <w:jc w:val="right"/>
              <w:rPr>
                <w:b/>
              </w:rPr>
            </w:pPr>
          </w:p>
        </w:tc>
        <w:tc>
          <w:tcPr>
            <w:tcW w:w="2835" w:type="dxa"/>
            <w:gridSpan w:val="3"/>
          </w:tcPr>
          <w:p w:rsidR="005C24DC" w:rsidRPr="006B465B" w:rsidRDefault="005C24DC" w:rsidP="00B83BA5">
            <w:pPr>
              <w:jc w:val="center"/>
            </w:pPr>
          </w:p>
        </w:tc>
        <w:tc>
          <w:tcPr>
            <w:tcW w:w="2268" w:type="dxa"/>
          </w:tcPr>
          <w:p w:rsidR="005C24DC" w:rsidRPr="006B465B" w:rsidRDefault="005C24DC" w:rsidP="00B83BA5">
            <w:pPr>
              <w:jc w:val="center"/>
            </w:pPr>
          </w:p>
        </w:tc>
      </w:tr>
      <w:tr w:rsidR="005C24DC" w:rsidRPr="006B465B" w:rsidTr="00215975">
        <w:tc>
          <w:tcPr>
            <w:tcW w:w="4962" w:type="dxa"/>
            <w:gridSpan w:val="2"/>
            <w:vMerge/>
            <w:shd w:val="clear" w:color="auto" w:fill="DDD9C3" w:themeFill="background2" w:themeFillShade="E6"/>
          </w:tcPr>
          <w:p w:rsidR="005C24DC" w:rsidRPr="002C791E" w:rsidRDefault="005C24DC" w:rsidP="002C791E">
            <w:pPr>
              <w:jc w:val="right"/>
              <w:rPr>
                <w:b/>
              </w:rPr>
            </w:pPr>
          </w:p>
        </w:tc>
        <w:tc>
          <w:tcPr>
            <w:tcW w:w="2835" w:type="dxa"/>
            <w:gridSpan w:val="3"/>
          </w:tcPr>
          <w:p w:rsidR="005C24DC" w:rsidRPr="006B465B" w:rsidRDefault="005C24DC" w:rsidP="00B83BA5">
            <w:pPr>
              <w:jc w:val="center"/>
            </w:pPr>
          </w:p>
        </w:tc>
        <w:tc>
          <w:tcPr>
            <w:tcW w:w="2268" w:type="dxa"/>
          </w:tcPr>
          <w:p w:rsidR="005C24DC" w:rsidRPr="006B465B" w:rsidRDefault="005C24DC" w:rsidP="00B83BA5">
            <w:pPr>
              <w:jc w:val="center"/>
            </w:pPr>
          </w:p>
        </w:tc>
      </w:tr>
      <w:tr w:rsidR="005C24DC" w:rsidRPr="006B465B" w:rsidTr="00215975">
        <w:tc>
          <w:tcPr>
            <w:tcW w:w="4962" w:type="dxa"/>
            <w:gridSpan w:val="2"/>
            <w:vMerge/>
            <w:shd w:val="clear" w:color="auto" w:fill="DDD9C3" w:themeFill="background2" w:themeFillShade="E6"/>
          </w:tcPr>
          <w:p w:rsidR="005C24DC" w:rsidRPr="002C791E" w:rsidRDefault="005C24DC" w:rsidP="002C791E">
            <w:pPr>
              <w:jc w:val="right"/>
              <w:rPr>
                <w:b/>
              </w:rPr>
            </w:pPr>
          </w:p>
        </w:tc>
        <w:tc>
          <w:tcPr>
            <w:tcW w:w="2835" w:type="dxa"/>
            <w:gridSpan w:val="3"/>
          </w:tcPr>
          <w:p w:rsidR="005C24DC" w:rsidRPr="006B465B" w:rsidRDefault="005C24DC" w:rsidP="00B83BA5">
            <w:pPr>
              <w:jc w:val="center"/>
            </w:pPr>
          </w:p>
        </w:tc>
        <w:tc>
          <w:tcPr>
            <w:tcW w:w="2268" w:type="dxa"/>
          </w:tcPr>
          <w:p w:rsidR="005C24DC" w:rsidRPr="006B465B" w:rsidRDefault="005C24DC" w:rsidP="00B83BA5">
            <w:pPr>
              <w:jc w:val="center"/>
            </w:pPr>
          </w:p>
        </w:tc>
      </w:tr>
      <w:tr w:rsidR="005C24DC" w:rsidRPr="006B465B" w:rsidTr="00215975">
        <w:tc>
          <w:tcPr>
            <w:tcW w:w="4962" w:type="dxa"/>
            <w:gridSpan w:val="2"/>
            <w:vMerge/>
            <w:shd w:val="clear" w:color="auto" w:fill="DDD9C3" w:themeFill="background2" w:themeFillShade="E6"/>
          </w:tcPr>
          <w:p w:rsidR="005C24DC" w:rsidRPr="002C791E" w:rsidRDefault="005C24DC" w:rsidP="002C791E">
            <w:pPr>
              <w:jc w:val="right"/>
              <w:rPr>
                <w:b/>
              </w:rPr>
            </w:pPr>
          </w:p>
        </w:tc>
        <w:tc>
          <w:tcPr>
            <w:tcW w:w="2835" w:type="dxa"/>
            <w:gridSpan w:val="3"/>
          </w:tcPr>
          <w:p w:rsidR="005C24DC" w:rsidRPr="006B465B" w:rsidRDefault="005C24DC" w:rsidP="00B83BA5">
            <w:pPr>
              <w:jc w:val="center"/>
            </w:pPr>
          </w:p>
        </w:tc>
        <w:tc>
          <w:tcPr>
            <w:tcW w:w="2268" w:type="dxa"/>
          </w:tcPr>
          <w:p w:rsidR="005C24DC" w:rsidRPr="006B465B" w:rsidRDefault="005C24DC" w:rsidP="00B83BA5">
            <w:pPr>
              <w:jc w:val="center"/>
            </w:pPr>
          </w:p>
        </w:tc>
      </w:tr>
      <w:tr w:rsidR="005C24DC" w:rsidRPr="006B465B" w:rsidTr="00215975">
        <w:tc>
          <w:tcPr>
            <w:tcW w:w="4962" w:type="dxa"/>
            <w:gridSpan w:val="2"/>
            <w:vMerge/>
            <w:shd w:val="clear" w:color="auto" w:fill="DDD9C3" w:themeFill="background2" w:themeFillShade="E6"/>
          </w:tcPr>
          <w:p w:rsidR="005C24DC" w:rsidRPr="002C791E" w:rsidRDefault="005C24DC" w:rsidP="002C791E">
            <w:pPr>
              <w:jc w:val="right"/>
              <w:rPr>
                <w:b/>
              </w:rPr>
            </w:pPr>
          </w:p>
        </w:tc>
        <w:tc>
          <w:tcPr>
            <w:tcW w:w="2835" w:type="dxa"/>
            <w:gridSpan w:val="3"/>
          </w:tcPr>
          <w:p w:rsidR="005C24DC" w:rsidRPr="006B465B" w:rsidRDefault="005C24DC" w:rsidP="00B83BA5">
            <w:pPr>
              <w:jc w:val="center"/>
            </w:pPr>
            <w:r>
              <w:t>ΣΥΝΟΛΟ</w:t>
            </w:r>
          </w:p>
        </w:tc>
        <w:tc>
          <w:tcPr>
            <w:tcW w:w="2268" w:type="dxa"/>
          </w:tcPr>
          <w:p w:rsidR="005C24DC" w:rsidRPr="006B465B" w:rsidRDefault="005C24DC" w:rsidP="00B83BA5">
            <w:pPr>
              <w:jc w:val="center"/>
            </w:pPr>
            <w:r>
              <w:t>250 ώρες</w:t>
            </w:r>
          </w:p>
        </w:tc>
      </w:tr>
      <w:tr w:rsidR="005C24DC" w:rsidRPr="006B465B" w:rsidTr="00215975">
        <w:tc>
          <w:tcPr>
            <w:tcW w:w="4962" w:type="dxa"/>
            <w:gridSpan w:val="2"/>
            <w:tcBorders>
              <w:bottom w:val="single" w:sz="4" w:space="0" w:color="auto"/>
            </w:tcBorders>
            <w:shd w:val="clear" w:color="auto" w:fill="DDD9C3" w:themeFill="background2" w:themeFillShade="E6"/>
          </w:tcPr>
          <w:p w:rsidR="005C24DC" w:rsidRPr="00C472A9" w:rsidRDefault="005C24DC" w:rsidP="00C472A9">
            <w:pPr>
              <w:jc w:val="right"/>
              <w:rPr>
                <w:b/>
              </w:rPr>
            </w:pPr>
            <w:r w:rsidRPr="00C472A9">
              <w:rPr>
                <w:b/>
              </w:rPr>
              <w:t>ΑΞΙΟΛΟΓΗΣΗ ΦΟΙΤΗΤΩΝ</w:t>
            </w:r>
          </w:p>
          <w:p w:rsidR="005C24DC" w:rsidRPr="00C472A9" w:rsidRDefault="005C24DC" w:rsidP="00C472A9">
            <w:pPr>
              <w:rPr>
                <w:i/>
              </w:rPr>
            </w:pPr>
            <w:r w:rsidRPr="00C472A9">
              <w:rPr>
                <w:i/>
              </w:rPr>
              <w:t>Περιγραφή της διαδικασίας αξιολόγησης.</w:t>
            </w:r>
          </w:p>
          <w:p w:rsidR="005C24DC" w:rsidRPr="00C472A9" w:rsidRDefault="005C24DC" w:rsidP="00C472A9">
            <w:pPr>
              <w:rPr>
                <w:i/>
              </w:rPr>
            </w:pPr>
          </w:p>
          <w:p w:rsidR="005C24DC" w:rsidRDefault="005C24DC"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5C24DC" w:rsidRPr="00C472A9" w:rsidRDefault="005C24DC" w:rsidP="00C472A9">
            <w:pPr>
              <w:jc w:val="both"/>
              <w:rPr>
                <w:i/>
              </w:rPr>
            </w:pPr>
          </w:p>
          <w:p w:rsidR="005C24DC" w:rsidRPr="00C472A9" w:rsidRDefault="005C24DC" w:rsidP="00C472A9">
            <w:pPr>
              <w:jc w:val="both"/>
              <w:rPr>
                <w:b/>
                <w:i/>
              </w:rPr>
            </w:pPr>
            <w:r w:rsidRPr="00C472A9">
              <w:rPr>
                <w:i/>
              </w:rPr>
              <w:t>Αναφέρονται ρητά προσδιορισμένα κριτήρια αξιολόγησης και εάν και που είναι προσβάσιμα από τους φοιτητές.</w:t>
            </w:r>
          </w:p>
        </w:tc>
        <w:tc>
          <w:tcPr>
            <w:tcW w:w="5103" w:type="dxa"/>
            <w:gridSpan w:val="4"/>
            <w:tcBorders>
              <w:bottom w:val="single" w:sz="4" w:space="0" w:color="auto"/>
            </w:tcBorders>
          </w:tcPr>
          <w:p w:rsidR="00F94B32" w:rsidRDefault="00F94B32" w:rsidP="0055111F">
            <w:pPr>
              <w:rPr>
                <w:rFonts w:ascii="Calibri" w:eastAsia="Calibri" w:hAnsi="Calibri" w:cs="Times New Roman"/>
              </w:rPr>
            </w:pPr>
            <w:r>
              <w:rPr>
                <w:rFonts w:ascii="Calibri" w:eastAsia="Calibri" w:hAnsi="Calibri" w:cs="Times New Roman"/>
              </w:rPr>
              <w:t>Η αξιολόγηση γίνεται με βάσ</w:t>
            </w:r>
            <w:r w:rsidR="00E34783">
              <w:rPr>
                <w:rFonts w:ascii="Calibri" w:eastAsia="Calibri" w:hAnsi="Calibri" w:cs="Times New Roman"/>
              </w:rPr>
              <w:t>η τη</w:t>
            </w:r>
            <w:r>
              <w:rPr>
                <w:rFonts w:ascii="Calibri" w:eastAsia="Calibri" w:hAnsi="Calibri" w:cs="Times New Roman"/>
              </w:rPr>
              <w:t xml:space="preserve"> 10βαθμη κλίμακα και είναι διαδοχικά διαμορφωτική και τελική, καθώς οι επιδόσεις των φοιτητών αθροίζονται για την εξαγωγή τ</w:t>
            </w:r>
            <w:r w:rsidR="009A1B1A">
              <w:rPr>
                <w:rFonts w:ascii="Calibri" w:eastAsia="Calibri" w:hAnsi="Calibri" w:cs="Times New Roman"/>
              </w:rPr>
              <w:t>ου τελικού βαθμού. Συγκεκριμένα</w:t>
            </w:r>
            <w:r>
              <w:rPr>
                <w:rFonts w:ascii="Calibri" w:eastAsia="Calibri" w:hAnsi="Calibri" w:cs="Times New Roman"/>
              </w:rPr>
              <w:t xml:space="preserve"> αξιολογούνται: </w:t>
            </w:r>
          </w:p>
          <w:p w:rsidR="005C24DC" w:rsidRDefault="005C24DC" w:rsidP="0055111F">
            <w:r>
              <w:rPr>
                <w:rFonts w:ascii="Calibri" w:eastAsia="Calibri" w:hAnsi="Calibri" w:cs="Times New Roman"/>
              </w:rPr>
              <w:t>1</w:t>
            </w:r>
            <w:r w:rsidR="00BB28A7">
              <w:rPr>
                <w:rFonts w:ascii="Calibri" w:eastAsia="Calibri" w:hAnsi="Calibri" w:cs="Times New Roman"/>
              </w:rPr>
              <w:t xml:space="preserve">. </w:t>
            </w:r>
            <w:r w:rsidR="00F94B32">
              <w:rPr>
                <w:rFonts w:ascii="Calibri" w:eastAsia="Calibri" w:hAnsi="Calibri" w:cs="Times New Roman"/>
              </w:rPr>
              <w:t>Η π</w:t>
            </w:r>
            <w:r w:rsidR="00BB28A7">
              <w:rPr>
                <w:rFonts w:ascii="Calibri" w:eastAsia="Calibri" w:hAnsi="Calibri" w:cs="Times New Roman"/>
              </w:rPr>
              <w:t>οιότητα των</w:t>
            </w:r>
            <w:r>
              <w:t xml:space="preserve"> ομαδικών εργασιών </w:t>
            </w:r>
            <w:r w:rsidR="00BB28A7">
              <w:t xml:space="preserve">που εκπονούνται </w:t>
            </w:r>
            <w:r w:rsidR="009A1B1A">
              <w:t xml:space="preserve">με καθοδήγηση </w:t>
            </w:r>
            <w:r w:rsidR="00E34783">
              <w:t xml:space="preserve">κατ’ </w:t>
            </w:r>
            <w:r>
              <w:t>οίκον</w:t>
            </w:r>
            <w:r w:rsidR="009A1B1A" w:rsidRPr="009A1B1A">
              <w:t xml:space="preserve">, </w:t>
            </w:r>
            <w:r w:rsidR="009A1B1A">
              <w:t>παρουσιάζονται στα μαθήματα</w:t>
            </w:r>
            <w:r w:rsidR="00BB28A7">
              <w:t xml:space="preserve"> και παραδίδονται στο τέλος του εξαμήνου</w:t>
            </w:r>
            <w:r w:rsidR="00F94B32">
              <w:t xml:space="preserve"> </w:t>
            </w:r>
            <w:r w:rsidR="00E34783">
              <w:t xml:space="preserve">(διαμορφωτική αξιολόγηση, </w:t>
            </w:r>
            <w:r w:rsidR="00F94B32">
              <w:t xml:space="preserve">30% της </w:t>
            </w:r>
            <w:r w:rsidR="00E34783">
              <w:t xml:space="preserve">συνολικής </w:t>
            </w:r>
            <w:r w:rsidR="00F94B32">
              <w:t>βαθμολογίας)</w:t>
            </w:r>
            <w:r>
              <w:t xml:space="preserve">. </w:t>
            </w:r>
          </w:p>
          <w:p w:rsidR="005C24DC" w:rsidRDefault="005C24DC" w:rsidP="0055111F">
            <w:r>
              <w:t xml:space="preserve">2. </w:t>
            </w:r>
            <w:r w:rsidR="00F94B32">
              <w:t>Η π</w:t>
            </w:r>
            <w:r>
              <w:t>ροφορική παρουσίαση των εργασιών στη διάρκεια των σεμιναρ</w:t>
            </w:r>
            <w:r w:rsidR="00F94B32">
              <w:t>ίων, με μ</w:t>
            </w:r>
            <w:r>
              <w:t xml:space="preserve">ορφή </w:t>
            </w:r>
            <w:r>
              <w:rPr>
                <w:lang w:val="en-US"/>
              </w:rPr>
              <w:t>debate</w:t>
            </w:r>
            <w:r w:rsidR="00F94B32">
              <w:t xml:space="preserve"> (διαμορφωτική αξιολόγηση</w:t>
            </w:r>
            <w:r w:rsidR="00E34783">
              <w:t xml:space="preserve">, </w:t>
            </w:r>
            <w:r w:rsidR="00F94B32">
              <w:t>10% της βαθμολογίας)</w:t>
            </w:r>
            <w:r>
              <w:rPr>
                <w:rFonts w:ascii="Calibri" w:eastAsia="Calibri" w:hAnsi="Calibri" w:cs="Times New Roman"/>
              </w:rPr>
              <w:t>.</w:t>
            </w:r>
          </w:p>
          <w:p w:rsidR="005C24DC" w:rsidRPr="006B465B" w:rsidRDefault="005C24DC" w:rsidP="007F35F2">
            <w:r>
              <w:t xml:space="preserve">3. Ατομική </w:t>
            </w:r>
            <w:r>
              <w:rPr>
                <w:rFonts w:ascii="Calibri" w:eastAsia="Calibri" w:hAnsi="Calibri" w:cs="Times New Roman"/>
              </w:rPr>
              <w:t xml:space="preserve">γραπτή </w:t>
            </w:r>
            <w:r>
              <w:t>εξέταση στο τέλος του εξαμήνου</w:t>
            </w:r>
            <w:r w:rsidR="00E34783">
              <w:t xml:space="preserve"> (τελική αξιολόγηση, </w:t>
            </w:r>
            <w:r w:rsidR="00F94B32">
              <w:t>60% της βαθμολογίας)</w:t>
            </w:r>
            <w:r>
              <w:t>.</w:t>
            </w:r>
            <w:r>
              <w:rPr>
                <w:rFonts w:ascii="Calibri" w:eastAsia="Calibri" w:hAnsi="Calibri" w:cs="Times New Roman"/>
              </w:rPr>
              <w:br/>
            </w:r>
            <w:r w:rsidR="00F94B32">
              <w:t>Οι</w:t>
            </w:r>
            <w:r w:rsidR="00F94B32">
              <w:rPr>
                <w:rFonts w:ascii="Calibri" w:eastAsia="Calibri" w:hAnsi="Calibri" w:cs="Times New Roman"/>
              </w:rPr>
              <w:t xml:space="preserve"> φοιτητές λαμβάνουν συστηματικά σχόλια πάνω στις εργασίες τους στ</w:t>
            </w:r>
            <w:r w:rsidR="00F94B32">
              <w:t xml:space="preserve">η διάρκεια του </w:t>
            </w:r>
            <w:r w:rsidR="00F94B32">
              <w:rPr>
                <w:rFonts w:ascii="Calibri" w:eastAsia="Calibri" w:hAnsi="Calibri" w:cs="Times New Roman"/>
              </w:rPr>
              <w:t xml:space="preserve">εξαμήνου, πριν την παρουσίαση και μετά από αυτήν. </w:t>
            </w:r>
            <w:r w:rsidR="001865F0">
              <w:rPr>
                <w:rFonts w:ascii="Calibri" w:eastAsia="Calibri" w:hAnsi="Calibri" w:cs="Times New Roman"/>
              </w:rPr>
              <w:t>Η δι</w:t>
            </w:r>
            <w:r w:rsidR="001865F0">
              <w:t>αφάνεια σ</w:t>
            </w:r>
            <w:r w:rsidR="00F94B32">
              <w:rPr>
                <w:rFonts w:ascii="Calibri" w:eastAsia="Calibri" w:hAnsi="Calibri" w:cs="Times New Roman"/>
              </w:rPr>
              <w:t xml:space="preserve">το σύνολο της αξιολόγησης διασφαλίζεται </w:t>
            </w:r>
            <w:r w:rsidR="001865F0">
              <w:t xml:space="preserve">με τον </w:t>
            </w:r>
            <w:r w:rsidR="007F35F2">
              <w:t>σαφή καθ</w:t>
            </w:r>
            <w:r w:rsidR="001865F0">
              <w:t xml:space="preserve">ορισμό των αξιολογικών κριτηρίων, τη συζήτηση </w:t>
            </w:r>
            <w:r w:rsidR="007F35F2">
              <w:t xml:space="preserve">κατ’ ιδίαν και στην αίθουσα –στη διάρκεια της παρουσίασης– </w:t>
            </w:r>
            <w:r w:rsidR="001865F0">
              <w:t xml:space="preserve">και τον σχολιασμό των εργασιών των φοιτητών. </w:t>
            </w:r>
            <w:r>
              <w:rPr>
                <w:rFonts w:ascii="Calibri" w:eastAsia="Calibri" w:hAnsi="Calibri" w:cs="Times New Roman"/>
              </w:rPr>
              <w:br/>
            </w:r>
          </w:p>
        </w:tc>
      </w:tr>
      <w:tr w:rsidR="005C24DC" w:rsidRPr="002609E6" w:rsidTr="002609E6">
        <w:tc>
          <w:tcPr>
            <w:tcW w:w="10065" w:type="dxa"/>
            <w:gridSpan w:val="6"/>
            <w:tcBorders>
              <w:left w:val="nil"/>
              <w:right w:val="nil"/>
            </w:tcBorders>
          </w:tcPr>
          <w:p w:rsidR="005C24DC" w:rsidRPr="002609E6" w:rsidRDefault="005C24DC" w:rsidP="002609E6">
            <w:pPr>
              <w:pStyle w:val="a4"/>
              <w:numPr>
                <w:ilvl w:val="0"/>
                <w:numId w:val="7"/>
              </w:numPr>
              <w:spacing w:before="120"/>
              <w:ind w:left="714" w:hanging="357"/>
              <w:rPr>
                <w:b/>
                <w:sz w:val="24"/>
                <w:szCs w:val="24"/>
              </w:rPr>
            </w:pPr>
            <w:r w:rsidRPr="002609E6">
              <w:rPr>
                <w:b/>
                <w:sz w:val="24"/>
                <w:szCs w:val="24"/>
              </w:rPr>
              <w:t>ΣΥΝΙΣΤΩΜΕΝΗ-ΒΙΒΛΙΟΓΡΑΦΙΑ</w:t>
            </w:r>
          </w:p>
        </w:tc>
      </w:tr>
      <w:tr w:rsidR="005C24DC" w:rsidRPr="00AA0AB3" w:rsidTr="00845214">
        <w:tc>
          <w:tcPr>
            <w:tcW w:w="10065" w:type="dxa"/>
            <w:gridSpan w:val="6"/>
          </w:tcPr>
          <w:p w:rsidR="00705C6F" w:rsidRDefault="00705C6F" w:rsidP="00786CED">
            <w:pPr>
              <w:spacing w:after="120"/>
              <w:ind w:left="720" w:hanging="720"/>
              <w:rPr>
                <w:lang w:val="en-US"/>
              </w:rPr>
            </w:pPr>
          </w:p>
          <w:p w:rsidR="00786CED" w:rsidRDefault="00786CED" w:rsidP="00786CED">
            <w:pPr>
              <w:spacing w:after="120"/>
              <w:ind w:left="720" w:hanging="720"/>
              <w:rPr>
                <w:lang w:val="en-US"/>
              </w:rPr>
            </w:pPr>
            <w:r w:rsidRPr="00AA0AB3">
              <w:rPr>
                <w:lang w:val="de-DE"/>
              </w:rPr>
              <w:t xml:space="preserve">Asterhan, C.S.C. &amp; Eisenmann, T. (2011). </w:t>
            </w:r>
            <w:r>
              <w:rPr>
                <w:lang w:val="en-US"/>
              </w:rPr>
              <w:t xml:space="preserve">Introducing synchronous e-discussion tools in co-located classrooms: A study on the experiences of ‘active’ and ‘silent’ secondary school students. </w:t>
            </w:r>
            <w:r w:rsidRPr="00786CED">
              <w:rPr>
                <w:i/>
                <w:lang w:val="en-US"/>
              </w:rPr>
              <w:t>Computers in Human Behavior 27</w:t>
            </w:r>
            <w:r>
              <w:rPr>
                <w:lang w:val="en-US"/>
              </w:rPr>
              <w:t>, 2169-2177.</w:t>
            </w:r>
          </w:p>
          <w:p w:rsidR="00786CED" w:rsidRPr="00AA0AB3" w:rsidRDefault="00786CED" w:rsidP="00786CED">
            <w:pPr>
              <w:spacing w:after="120"/>
              <w:ind w:left="720" w:hanging="720"/>
              <w:rPr>
                <w:lang w:val="en-US"/>
              </w:rPr>
            </w:pPr>
            <w:r>
              <w:rPr>
                <w:lang w:val="en-US"/>
              </w:rPr>
              <w:t xml:space="preserve">Baum, S., Viens, J. &amp; Slatin, B. (2005). </w:t>
            </w:r>
            <w:r w:rsidRPr="00786CED">
              <w:rPr>
                <w:i/>
                <w:lang w:val="en-US"/>
              </w:rPr>
              <w:t>Multiple Intelligences in the Elementary Classroom. A Teacher’s Toolkit</w:t>
            </w:r>
            <w:r>
              <w:rPr>
                <w:lang w:val="en-US"/>
              </w:rPr>
              <w:t xml:space="preserve">. New York: Teachers College Press. </w:t>
            </w:r>
            <w:hyperlink r:id="rId7" w:history="1">
              <w:r w:rsidRPr="008F53D3">
                <w:rPr>
                  <w:rStyle w:val="-"/>
                  <w:lang w:val="en-US"/>
                </w:rPr>
                <w:t>http</w:t>
              </w:r>
              <w:r w:rsidRPr="00AA0AB3">
                <w:rPr>
                  <w:rStyle w:val="-"/>
                  <w:lang w:val="en-US"/>
                </w:rPr>
                <w:t>://</w:t>
              </w:r>
              <w:r w:rsidRPr="008F53D3">
                <w:rPr>
                  <w:rStyle w:val="-"/>
                  <w:lang w:val="en-US"/>
                </w:rPr>
                <w:t>www</w:t>
              </w:r>
              <w:r w:rsidRPr="00AA0AB3">
                <w:rPr>
                  <w:rStyle w:val="-"/>
                  <w:lang w:val="en-US"/>
                </w:rPr>
                <w:t>.</w:t>
              </w:r>
              <w:r w:rsidRPr="008F53D3">
                <w:rPr>
                  <w:rStyle w:val="-"/>
                  <w:lang w:val="en-US"/>
                </w:rPr>
                <w:t>freepatentsonline</w:t>
              </w:r>
              <w:r w:rsidRPr="00AA0AB3">
                <w:rPr>
                  <w:rStyle w:val="-"/>
                  <w:lang w:val="en-US"/>
                </w:rPr>
                <w:t>.</w:t>
              </w:r>
              <w:r w:rsidRPr="008F53D3">
                <w:rPr>
                  <w:rStyle w:val="-"/>
                  <w:lang w:val="en-US"/>
                </w:rPr>
                <w:t>com</w:t>
              </w:r>
              <w:r w:rsidRPr="00AA0AB3">
                <w:rPr>
                  <w:rStyle w:val="-"/>
                  <w:lang w:val="en-US"/>
                </w:rPr>
                <w:t>/</w:t>
              </w:r>
              <w:r w:rsidRPr="008F53D3">
                <w:rPr>
                  <w:rStyle w:val="-"/>
                  <w:lang w:val="en-US"/>
                </w:rPr>
                <w:t>article</w:t>
              </w:r>
              <w:r w:rsidRPr="00AA0AB3">
                <w:rPr>
                  <w:rStyle w:val="-"/>
                  <w:lang w:val="en-US"/>
                </w:rPr>
                <w:t>/</w:t>
              </w:r>
              <w:r w:rsidRPr="008F53D3">
                <w:rPr>
                  <w:rStyle w:val="-"/>
                  <w:lang w:val="en-US"/>
                </w:rPr>
                <w:t>Childhood</w:t>
              </w:r>
              <w:r w:rsidRPr="00AA0AB3">
                <w:rPr>
                  <w:rStyle w:val="-"/>
                  <w:lang w:val="en-US"/>
                </w:rPr>
                <w:t>-</w:t>
              </w:r>
              <w:r w:rsidRPr="008F53D3">
                <w:rPr>
                  <w:rStyle w:val="-"/>
                  <w:lang w:val="en-US"/>
                </w:rPr>
                <w:t>Education</w:t>
              </w:r>
              <w:r w:rsidRPr="00AA0AB3">
                <w:rPr>
                  <w:rStyle w:val="-"/>
                  <w:lang w:val="en-US"/>
                </w:rPr>
                <w:t>/166188006.</w:t>
              </w:r>
              <w:r w:rsidRPr="008F53D3">
                <w:rPr>
                  <w:rStyle w:val="-"/>
                  <w:lang w:val="en-US"/>
                </w:rPr>
                <w:t>html</w:t>
              </w:r>
            </w:hyperlink>
            <w:r w:rsidRPr="00AA0AB3">
              <w:rPr>
                <w:lang w:val="en-US"/>
              </w:rPr>
              <w:t xml:space="preserve"> (</w:t>
            </w:r>
            <w:r>
              <w:t>διαθέσιμο</w:t>
            </w:r>
            <w:r w:rsidRPr="00AA0AB3">
              <w:rPr>
                <w:lang w:val="en-US"/>
              </w:rPr>
              <w:t xml:space="preserve"> </w:t>
            </w:r>
            <w:r>
              <w:t>στις</w:t>
            </w:r>
            <w:r w:rsidRPr="00AA0AB3">
              <w:rPr>
                <w:lang w:val="en-US"/>
              </w:rPr>
              <w:t xml:space="preserve"> 8.3.2015). </w:t>
            </w:r>
          </w:p>
          <w:p w:rsidR="00786CED" w:rsidRDefault="00786CED" w:rsidP="00786CED">
            <w:pPr>
              <w:spacing w:after="120"/>
              <w:ind w:left="720" w:hanging="720"/>
              <w:rPr>
                <w:lang w:val="en-US"/>
              </w:rPr>
            </w:pPr>
            <w:r>
              <w:rPr>
                <w:lang w:val="en-US"/>
              </w:rPr>
              <w:t xml:space="preserve">Connor, C. M., Morrison, F. J., Schatschneider, C., Toste, J. R., Lundblom, E., Crowe, E.C. &amp; Fishman, B. (2011). Effective Classroom Instruction: Implications of Child Characterisitcs by Reading Instruction Interactions on First Graders’ Word Reading Achievement. </w:t>
            </w:r>
            <w:r w:rsidRPr="00786CED">
              <w:rPr>
                <w:i/>
                <w:lang w:val="en-US"/>
              </w:rPr>
              <w:t>Journal of Research on Educational Effectiveness 4</w:t>
            </w:r>
            <w:r>
              <w:rPr>
                <w:lang w:val="en-US"/>
              </w:rPr>
              <w:t xml:space="preserve">, 173-2017. </w:t>
            </w:r>
          </w:p>
          <w:p w:rsidR="00786CED" w:rsidRDefault="00786CED" w:rsidP="00786CED">
            <w:pPr>
              <w:spacing w:after="120"/>
              <w:ind w:left="720" w:hanging="720"/>
              <w:rPr>
                <w:lang w:val="en-US"/>
              </w:rPr>
            </w:pPr>
            <w:r>
              <w:rPr>
                <w:lang w:val="en-US"/>
              </w:rPr>
              <w:t>Daschmann, E.C., Goetz, T. &amp; Stupnisky, R. H. (2014). Exploring t</w:t>
            </w:r>
            <w:r w:rsidRPr="00285F8C">
              <w:rPr>
                <w:lang w:val="en-US"/>
              </w:rPr>
              <w:t>he antecedents of boredom</w:t>
            </w:r>
            <w:r>
              <w:rPr>
                <w:lang w:val="en-US"/>
              </w:rPr>
              <w:t xml:space="preserve">: Do teachers know why students are bored? </w:t>
            </w:r>
            <w:r w:rsidRPr="00786CED">
              <w:rPr>
                <w:i/>
                <w:lang w:val="en-US"/>
              </w:rPr>
              <w:t>Teaching and Teacher Education 39</w:t>
            </w:r>
            <w:r>
              <w:rPr>
                <w:lang w:val="en-US"/>
              </w:rPr>
              <w:t xml:space="preserve">, 22-30. </w:t>
            </w:r>
          </w:p>
          <w:p w:rsidR="00786CED" w:rsidRPr="006C5ED1" w:rsidRDefault="00786CED" w:rsidP="00786CED">
            <w:pPr>
              <w:spacing w:after="120"/>
              <w:ind w:left="720" w:hanging="720"/>
              <w:rPr>
                <w:lang w:val="en-US"/>
              </w:rPr>
            </w:pPr>
            <w:r w:rsidRPr="006C5ED1">
              <w:rPr>
                <w:lang w:val="en-US"/>
              </w:rPr>
              <w:t xml:space="preserve">Dimitriadou, C., Nari, E. &amp; Palaiologou, N. (2012). E-learning teacher training courses for differentiated instruction in multicultural classrooms: reflections upon the participants’ experiences. </w:t>
            </w:r>
            <w:r w:rsidRPr="006C5ED1">
              <w:rPr>
                <w:i/>
                <w:lang w:val="en-US"/>
              </w:rPr>
              <w:t>i-manager’s Journal of Educational Technology</w:t>
            </w:r>
            <w:r w:rsidRPr="006C5ED1">
              <w:rPr>
                <w:lang w:val="en-US"/>
              </w:rPr>
              <w:t xml:space="preserve">, Special issue, </w:t>
            </w:r>
            <w:r w:rsidRPr="00705C6F">
              <w:rPr>
                <w:i/>
                <w:lang w:val="en-US"/>
              </w:rPr>
              <w:t>9</w:t>
            </w:r>
            <w:r w:rsidRPr="006C5ED1">
              <w:rPr>
                <w:lang w:val="en-US"/>
              </w:rPr>
              <w:t xml:space="preserve"> (3), 14-26. </w:t>
            </w:r>
          </w:p>
          <w:p w:rsidR="00786CED" w:rsidRPr="006C5ED1" w:rsidRDefault="00786CED" w:rsidP="00786CED">
            <w:pPr>
              <w:spacing w:after="120"/>
              <w:ind w:left="720" w:hanging="720"/>
              <w:rPr>
                <w:rStyle w:val="st"/>
                <w:lang w:val="en-US"/>
              </w:rPr>
            </w:pPr>
            <w:r w:rsidRPr="006C5ED1">
              <w:rPr>
                <w:lang w:val="en-US"/>
              </w:rPr>
              <w:t xml:space="preserve">Evans, C. &amp; Waring, M. (2011). How can an understanding of cognitive style enable trainee teachers to have a better understanding of differentiation in the classroom? </w:t>
            </w:r>
            <w:r w:rsidRPr="000D4604">
              <w:rPr>
                <w:rStyle w:val="a5"/>
                <w:i w:val="0"/>
                <w:lang w:val="en-US"/>
              </w:rPr>
              <w:t>Educational</w:t>
            </w:r>
            <w:r w:rsidRPr="000D4604">
              <w:rPr>
                <w:rStyle w:val="st"/>
                <w:i/>
                <w:lang w:val="en-US"/>
              </w:rPr>
              <w:t xml:space="preserve"> Research for Policy and Practice</w:t>
            </w:r>
            <w:r w:rsidRPr="006C5ED1">
              <w:rPr>
                <w:rStyle w:val="st"/>
                <w:lang w:val="en-US"/>
              </w:rPr>
              <w:t xml:space="preserve"> 10, 149-169. </w:t>
            </w:r>
          </w:p>
          <w:p w:rsidR="00786CED" w:rsidRDefault="00786CED" w:rsidP="00786CED">
            <w:pPr>
              <w:spacing w:after="120"/>
              <w:ind w:left="720" w:hanging="720"/>
              <w:rPr>
                <w:lang w:val="en-US"/>
              </w:rPr>
            </w:pPr>
            <w:r>
              <w:rPr>
                <w:lang w:val="en-US"/>
              </w:rPr>
              <w:t xml:space="preserve">Harlow, D.B., Swanson, L.H., Nylund-Gibson, K. &amp; Truxler, A. (2011). Using Latent Class Analysis to Analyse Children’s Responses to the Question, “What is a Day”? </w:t>
            </w:r>
            <w:r w:rsidRPr="00786CED">
              <w:rPr>
                <w:i/>
                <w:lang w:val="en-US"/>
              </w:rPr>
              <w:t>Science Education 95</w:t>
            </w:r>
            <w:r>
              <w:rPr>
                <w:lang w:val="en-US"/>
              </w:rPr>
              <w:t xml:space="preserve">(3), 477-496. </w:t>
            </w:r>
          </w:p>
          <w:p w:rsidR="00786CED" w:rsidRDefault="00786CED" w:rsidP="00786CED">
            <w:pPr>
              <w:spacing w:after="120"/>
              <w:ind w:left="720" w:hanging="720"/>
              <w:rPr>
                <w:lang w:val="en-US"/>
              </w:rPr>
            </w:pPr>
            <w:r>
              <w:rPr>
                <w:lang w:val="en-US"/>
              </w:rPr>
              <w:t xml:space="preserve">Harris, D. M. (2011). Curriculum Differentiation and Comprehensive School Reform: Challenges in Providing Educational Opportunity. </w:t>
            </w:r>
            <w:r w:rsidRPr="00786CED">
              <w:rPr>
                <w:i/>
                <w:lang w:val="en-US"/>
              </w:rPr>
              <w:t>Educational Policy 25</w:t>
            </w:r>
            <w:r>
              <w:rPr>
                <w:lang w:val="en-US"/>
              </w:rPr>
              <w:t xml:space="preserve">(5), 844-884. </w:t>
            </w:r>
          </w:p>
          <w:p w:rsidR="00170866" w:rsidRDefault="00170866" w:rsidP="00786CED">
            <w:pPr>
              <w:spacing w:after="120"/>
              <w:ind w:left="720" w:hanging="720"/>
              <w:rPr>
                <w:lang w:val="en-US"/>
              </w:rPr>
            </w:pPr>
            <w:r w:rsidRPr="00170866">
              <w:rPr>
                <w:lang w:val="en-US"/>
              </w:rPr>
              <w:t xml:space="preserve">Inan, F. A., Flores, R., Ari, F., &amp; Arslan-Ari, I. (2011). </w:t>
            </w:r>
            <w:r>
              <w:rPr>
                <w:lang w:val="en-US"/>
              </w:rPr>
              <w:t>Towards Individualized Online Learning: The Design and Development of an Adaptive Web Based Learning Environment.</w:t>
            </w:r>
            <w:r w:rsidRPr="00170866">
              <w:rPr>
                <w:lang w:val="en-US"/>
              </w:rPr>
              <w:t xml:space="preserve"> </w:t>
            </w:r>
            <w:r w:rsidRPr="00170866">
              <w:rPr>
                <w:i/>
                <w:iCs/>
                <w:lang w:val="en-US"/>
              </w:rPr>
              <w:t>Journal of Interactive Learning Research, 22</w:t>
            </w:r>
            <w:r w:rsidRPr="00170866">
              <w:rPr>
                <w:lang w:val="en-US"/>
              </w:rPr>
              <w:t>(4).</w:t>
            </w:r>
          </w:p>
          <w:p w:rsidR="00786CED" w:rsidRPr="006C5ED1" w:rsidRDefault="00786CED" w:rsidP="00786CED">
            <w:pPr>
              <w:pStyle w:val="a6"/>
              <w:tabs>
                <w:tab w:val="left" w:pos="1260"/>
              </w:tabs>
              <w:ind w:left="720" w:hanging="720"/>
              <w:jc w:val="both"/>
              <w:rPr>
                <w:rFonts w:asciiTheme="minorHAnsi" w:hAnsiTheme="minorHAnsi"/>
                <w:bCs/>
                <w:sz w:val="22"/>
                <w:szCs w:val="22"/>
                <w:lang w:val="en-US"/>
              </w:rPr>
            </w:pPr>
            <w:r w:rsidRPr="006C5ED1">
              <w:rPr>
                <w:rFonts w:asciiTheme="minorHAnsi" w:hAnsiTheme="minorHAnsi"/>
                <w:sz w:val="22"/>
                <w:szCs w:val="22"/>
                <w:lang w:val="en-US"/>
              </w:rPr>
              <w:t xml:space="preserve">Lingo, A. S., Barton-Arwood, S.M. &amp; Jolivette, K. (2011). Teachers Working Together. Improving Learning Outcomes in the Inclusive Classroom – Practical Strategies and Examples. </w:t>
            </w:r>
            <w:r w:rsidRPr="006C5ED1">
              <w:rPr>
                <w:rFonts w:asciiTheme="minorHAnsi" w:hAnsiTheme="minorHAnsi"/>
                <w:i/>
                <w:sz w:val="22"/>
                <w:szCs w:val="22"/>
                <w:lang w:val="en-US"/>
              </w:rPr>
              <w:t>Teaching Exceptional Children</w:t>
            </w:r>
            <w:r w:rsidRPr="006C5ED1">
              <w:rPr>
                <w:rFonts w:asciiTheme="minorHAnsi" w:hAnsiTheme="minorHAnsi"/>
                <w:sz w:val="22"/>
                <w:szCs w:val="22"/>
                <w:lang w:val="en-US"/>
              </w:rPr>
              <w:t xml:space="preserve"> Jan/Feb 2011: 6-13. Terhart, E. (2003). Constructivism and teaching: A new paradigm in general didactics? </w:t>
            </w:r>
            <w:r w:rsidRPr="006C5ED1">
              <w:rPr>
                <w:rFonts w:asciiTheme="minorHAnsi" w:hAnsiTheme="minorHAnsi"/>
                <w:i/>
                <w:iCs/>
                <w:sz w:val="22"/>
                <w:szCs w:val="22"/>
                <w:lang w:val="en-US"/>
              </w:rPr>
              <w:t>Journal of Curriculum Studies</w:t>
            </w:r>
            <w:r w:rsidRPr="006C5ED1">
              <w:rPr>
                <w:rFonts w:asciiTheme="minorHAnsi" w:hAnsiTheme="minorHAnsi"/>
                <w:i/>
                <w:sz w:val="22"/>
                <w:szCs w:val="22"/>
                <w:lang w:val="en-US"/>
              </w:rPr>
              <w:t>, 35 (1),</w:t>
            </w:r>
            <w:r w:rsidRPr="006C5ED1">
              <w:rPr>
                <w:rFonts w:asciiTheme="minorHAnsi" w:hAnsiTheme="minorHAnsi"/>
                <w:sz w:val="22"/>
                <w:szCs w:val="22"/>
                <w:lang w:val="en-US"/>
              </w:rPr>
              <w:t xml:space="preserve"> 25-44.</w:t>
            </w:r>
          </w:p>
          <w:p w:rsidR="005759CD" w:rsidRDefault="005759CD" w:rsidP="00786CED">
            <w:pPr>
              <w:spacing w:after="120"/>
              <w:ind w:left="720" w:hanging="720"/>
              <w:rPr>
                <w:lang w:val="en-US"/>
              </w:rPr>
            </w:pPr>
            <w:r>
              <w:rPr>
                <w:lang w:val="en-US"/>
              </w:rPr>
              <w:t>Martin, P.C. (2013</w:t>
            </w:r>
            <w:r w:rsidRPr="005C6268">
              <w:rPr>
                <w:lang w:val="en-US"/>
              </w:rPr>
              <w:t xml:space="preserve">). </w:t>
            </w:r>
            <w:r>
              <w:rPr>
                <w:lang w:val="en-US"/>
              </w:rPr>
              <w:t xml:space="preserve">Role-Playing in an Inclusive Classroom: Using Realistic Simulation to Explore Differentiated Instruction. </w:t>
            </w:r>
            <w:r w:rsidRPr="005C6268">
              <w:rPr>
                <w:i/>
                <w:iCs/>
                <w:lang w:val="en-US"/>
              </w:rPr>
              <w:t>Issues in Teacher Education</w:t>
            </w:r>
            <w:r w:rsidRPr="005C6268">
              <w:rPr>
                <w:lang w:val="en-US"/>
              </w:rPr>
              <w:t xml:space="preserve">, </w:t>
            </w:r>
            <w:r w:rsidRPr="005C6268">
              <w:rPr>
                <w:i/>
                <w:iCs/>
                <w:lang w:val="en-US"/>
              </w:rPr>
              <w:t>22</w:t>
            </w:r>
            <w:r w:rsidRPr="005C6268">
              <w:rPr>
                <w:lang w:val="en-US"/>
              </w:rPr>
              <w:t>(2), 93–106.</w:t>
            </w:r>
          </w:p>
          <w:p w:rsidR="005759CD" w:rsidRDefault="005759CD" w:rsidP="00786CED">
            <w:pPr>
              <w:spacing w:after="120"/>
              <w:ind w:left="720" w:hanging="720"/>
              <w:rPr>
                <w:lang w:val="en-US"/>
              </w:rPr>
            </w:pPr>
            <w:r>
              <w:rPr>
                <w:lang w:val="en-US"/>
              </w:rPr>
              <w:t xml:space="preserve">McBride, B. (2004). Data-driven instructional methods: ‘One-strategy-fits-all’ doesn’t work in real classroom. </w:t>
            </w:r>
            <w:r w:rsidRPr="00786CED">
              <w:rPr>
                <w:i/>
                <w:lang w:val="en-US"/>
              </w:rPr>
              <w:t>T.H.E. Journal, 31</w:t>
            </w:r>
            <w:r>
              <w:rPr>
                <w:lang w:val="en-US"/>
              </w:rPr>
              <w:t xml:space="preserve">(11), 38-40. </w:t>
            </w:r>
          </w:p>
          <w:p w:rsidR="00786CED" w:rsidRDefault="00786CED" w:rsidP="00786CED">
            <w:pPr>
              <w:spacing w:after="120"/>
              <w:ind w:left="720" w:hanging="720"/>
              <w:rPr>
                <w:lang w:val="en-US"/>
              </w:rPr>
            </w:pPr>
            <w:r>
              <w:rPr>
                <w:lang w:val="en-US"/>
              </w:rPr>
              <w:t xml:space="preserve">Osterman, K. (2000). Students’ need for belonging in the school community. </w:t>
            </w:r>
            <w:r w:rsidRPr="00786CED">
              <w:rPr>
                <w:i/>
                <w:lang w:val="en-US"/>
              </w:rPr>
              <w:t>Review of Educational Research, 70</w:t>
            </w:r>
            <w:r>
              <w:rPr>
                <w:lang w:val="en-US"/>
              </w:rPr>
              <w:t>(3), 323-367.</w:t>
            </w:r>
          </w:p>
          <w:p w:rsidR="00786CED" w:rsidRPr="006C5ED1" w:rsidRDefault="00786CED" w:rsidP="00786CED">
            <w:pPr>
              <w:spacing w:after="120"/>
              <w:ind w:left="720" w:hanging="720"/>
              <w:rPr>
                <w:lang w:val="en-US"/>
              </w:rPr>
            </w:pPr>
            <w:r w:rsidRPr="006C5ED1">
              <w:rPr>
                <w:lang w:val="en-US"/>
              </w:rPr>
              <w:t xml:space="preserve">Pashler, H., McDaniel, M., Rohrer, D. &amp; Bjork, R. (2009). Learning Styles. Concepts and Evidence. </w:t>
            </w:r>
            <w:r w:rsidRPr="006C5ED1">
              <w:rPr>
                <w:i/>
                <w:lang w:val="en-US"/>
              </w:rPr>
              <w:t>APS, A Journal of the Association for Psychological Science</w:t>
            </w:r>
            <w:r w:rsidRPr="006C5ED1">
              <w:rPr>
                <w:lang w:val="en-US"/>
              </w:rPr>
              <w:t xml:space="preserve"> 9(3), 105-119. </w:t>
            </w:r>
          </w:p>
          <w:p w:rsidR="00786CED" w:rsidRPr="006C5ED1" w:rsidRDefault="00786CED" w:rsidP="00786CED">
            <w:pPr>
              <w:pStyle w:val="a6"/>
              <w:spacing w:line="276" w:lineRule="auto"/>
              <w:ind w:left="720" w:hanging="720"/>
              <w:jc w:val="both"/>
              <w:rPr>
                <w:rFonts w:asciiTheme="minorHAnsi" w:hAnsiTheme="minorHAnsi"/>
                <w:color w:val="000000" w:themeColor="text1"/>
                <w:sz w:val="22"/>
                <w:szCs w:val="22"/>
                <w:lang w:val="en-GB"/>
              </w:rPr>
            </w:pPr>
            <w:r w:rsidRPr="006C5ED1">
              <w:rPr>
                <w:rFonts w:asciiTheme="minorHAnsi" w:hAnsiTheme="minorHAnsi"/>
                <w:color w:val="000000" w:themeColor="text1"/>
                <w:sz w:val="22"/>
                <w:szCs w:val="22"/>
                <w:lang w:val="en-GB"/>
              </w:rPr>
              <w:t xml:space="preserve">Scalise, K. (2007). Differentiated e-learning: five approaches through instructional technology. </w:t>
            </w:r>
            <w:r w:rsidRPr="006C5ED1">
              <w:rPr>
                <w:rFonts w:asciiTheme="minorHAnsi" w:hAnsiTheme="minorHAnsi"/>
                <w:i/>
                <w:iCs/>
                <w:color w:val="000000" w:themeColor="text1"/>
                <w:sz w:val="22"/>
                <w:szCs w:val="22"/>
                <w:lang w:val="en-GB"/>
              </w:rPr>
              <w:t>International Journal of Learning Technology</w:t>
            </w:r>
            <w:r w:rsidRPr="006C5ED1">
              <w:rPr>
                <w:rFonts w:asciiTheme="minorHAnsi" w:hAnsiTheme="minorHAnsi"/>
                <w:color w:val="000000" w:themeColor="text1"/>
                <w:sz w:val="22"/>
                <w:szCs w:val="22"/>
                <w:lang w:val="en-GB"/>
              </w:rPr>
              <w:t xml:space="preserve">, </w:t>
            </w:r>
            <w:r w:rsidR="00705C6F">
              <w:rPr>
                <w:rFonts w:asciiTheme="minorHAnsi" w:hAnsiTheme="minorHAnsi"/>
                <w:i/>
                <w:color w:val="000000" w:themeColor="text1"/>
                <w:sz w:val="22"/>
                <w:szCs w:val="22"/>
                <w:lang w:val="en-GB"/>
              </w:rPr>
              <w:t>3</w:t>
            </w:r>
            <w:r w:rsidRPr="006C5ED1">
              <w:rPr>
                <w:rFonts w:asciiTheme="minorHAnsi" w:hAnsiTheme="minorHAnsi"/>
                <w:i/>
                <w:color w:val="000000" w:themeColor="text1"/>
                <w:sz w:val="22"/>
                <w:szCs w:val="22"/>
                <w:lang w:val="en-GB"/>
              </w:rPr>
              <w:t>(2),</w:t>
            </w:r>
            <w:r w:rsidRPr="006C5ED1">
              <w:rPr>
                <w:rFonts w:asciiTheme="minorHAnsi" w:hAnsiTheme="minorHAnsi"/>
                <w:color w:val="000000" w:themeColor="text1"/>
                <w:sz w:val="22"/>
                <w:szCs w:val="22"/>
                <w:lang w:val="en-GB"/>
              </w:rPr>
              <w:t xml:space="preserve"> 169-182. </w:t>
            </w:r>
          </w:p>
          <w:p w:rsidR="00786CED" w:rsidRPr="006C5ED1" w:rsidRDefault="00786CED" w:rsidP="00786CED">
            <w:pPr>
              <w:spacing w:after="120"/>
              <w:ind w:left="720" w:hanging="720"/>
              <w:rPr>
                <w:bCs/>
                <w:lang w:val="en-US"/>
              </w:rPr>
            </w:pPr>
            <w:r w:rsidRPr="006C5ED1">
              <w:rPr>
                <w:lang w:val="en-US"/>
              </w:rPr>
              <w:t xml:space="preserve">Terhart, E. (2003). Constructivism and teaching: A new paradigm in general didactics? </w:t>
            </w:r>
            <w:r w:rsidRPr="006C5ED1">
              <w:rPr>
                <w:i/>
                <w:iCs/>
                <w:lang w:val="en-US"/>
              </w:rPr>
              <w:t>Journal of Curriculum Studies</w:t>
            </w:r>
            <w:r w:rsidRPr="006C5ED1">
              <w:rPr>
                <w:i/>
                <w:lang w:val="en-US"/>
              </w:rPr>
              <w:t>, 35 (1),</w:t>
            </w:r>
            <w:r w:rsidRPr="006C5ED1">
              <w:rPr>
                <w:lang w:val="en-US"/>
              </w:rPr>
              <w:t xml:space="preserve"> 25-44.</w:t>
            </w:r>
          </w:p>
          <w:p w:rsidR="00786CED" w:rsidRPr="00AA0AB3" w:rsidRDefault="00786CED" w:rsidP="00786CED">
            <w:pPr>
              <w:spacing w:after="120"/>
              <w:ind w:left="720" w:hanging="720"/>
            </w:pPr>
            <w:r>
              <w:rPr>
                <w:lang w:val="en-US"/>
              </w:rPr>
              <w:t xml:space="preserve">Tomlinson, C. A. (1999). Mapping a route toward differentiated instruction. </w:t>
            </w:r>
            <w:r w:rsidRPr="00786CED">
              <w:rPr>
                <w:i/>
                <w:lang w:val="en-US"/>
              </w:rPr>
              <w:t>Educational</w:t>
            </w:r>
            <w:r w:rsidRPr="00AA0AB3">
              <w:rPr>
                <w:i/>
              </w:rPr>
              <w:t xml:space="preserve"> </w:t>
            </w:r>
            <w:r w:rsidRPr="00786CED">
              <w:rPr>
                <w:i/>
                <w:lang w:val="en-US"/>
              </w:rPr>
              <w:t>Leadership</w:t>
            </w:r>
            <w:r w:rsidRPr="00AA0AB3">
              <w:rPr>
                <w:i/>
              </w:rPr>
              <w:t xml:space="preserve"> 57</w:t>
            </w:r>
            <w:r w:rsidRPr="00AA0AB3">
              <w:t xml:space="preserve">(1), 12-16. </w:t>
            </w:r>
          </w:p>
          <w:p w:rsidR="00786CED" w:rsidRPr="000D4604" w:rsidRDefault="00786CED" w:rsidP="00786CED">
            <w:pPr>
              <w:spacing w:after="120"/>
              <w:ind w:left="720" w:hanging="720"/>
              <w:rPr>
                <w:lang w:val="en-US"/>
              </w:rPr>
            </w:pPr>
            <w:r w:rsidRPr="006C5ED1">
              <w:rPr>
                <w:lang w:val="en-US"/>
              </w:rPr>
              <w:t>Tomlinson</w:t>
            </w:r>
            <w:r w:rsidRPr="00AA0AB3">
              <w:t xml:space="preserve">, </w:t>
            </w:r>
            <w:r w:rsidRPr="006C5ED1">
              <w:rPr>
                <w:lang w:val="en-US"/>
              </w:rPr>
              <w:t>C</w:t>
            </w:r>
            <w:r w:rsidRPr="00AA0AB3">
              <w:t xml:space="preserve">. </w:t>
            </w:r>
            <w:r w:rsidRPr="006C5ED1">
              <w:rPr>
                <w:lang w:val="en-US"/>
              </w:rPr>
              <w:t>A</w:t>
            </w:r>
            <w:r w:rsidRPr="00AA0AB3">
              <w:t>. (2004</w:t>
            </w:r>
            <w:r w:rsidRPr="00AA0AB3">
              <w:rPr>
                <w:i/>
              </w:rPr>
              <w:t xml:space="preserve">). </w:t>
            </w:r>
            <w:r w:rsidRPr="006C5ED1">
              <w:rPr>
                <w:i/>
              </w:rPr>
              <w:t>Διαφοροποίηση</w:t>
            </w:r>
            <w:r w:rsidRPr="00AA0AB3">
              <w:rPr>
                <w:i/>
              </w:rPr>
              <w:t xml:space="preserve"> </w:t>
            </w:r>
            <w:r w:rsidRPr="006C5ED1">
              <w:rPr>
                <w:i/>
              </w:rPr>
              <w:t>της</w:t>
            </w:r>
            <w:r w:rsidRPr="00AA0AB3">
              <w:rPr>
                <w:i/>
              </w:rPr>
              <w:t xml:space="preserve"> </w:t>
            </w:r>
            <w:r w:rsidRPr="006C5ED1">
              <w:rPr>
                <w:i/>
              </w:rPr>
              <w:t>εργασίας</w:t>
            </w:r>
            <w:r w:rsidRPr="00AA0AB3">
              <w:rPr>
                <w:i/>
              </w:rPr>
              <w:t xml:space="preserve"> </w:t>
            </w:r>
            <w:r w:rsidRPr="006C5ED1">
              <w:rPr>
                <w:i/>
              </w:rPr>
              <w:t>στην</w:t>
            </w:r>
            <w:r w:rsidRPr="00AA0AB3">
              <w:rPr>
                <w:i/>
              </w:rPr>
              <w:t xml:space="preserve"> </w:t>
            </w:r>
            <w:r w:rsidRPr="006C5ED1">
              <w:rPr>
                <w:i/>
              </w:rPr>
              <w:t>αίθουσα</w:t>
            </w:r>
            <w:r w:rsidRPr="00AA0AB3">
              <w:rPr>
                <w:i/>
              </w:rPr>
              <w:t xml:space="preserve"> </w:t>
            </w:r>
            <w:r w:rsidRPr="006C5ED1">
              <w:rPr>
                <w:i/>
              </w:rPr>
              <w:t>διδασκαλίας</w:t>
            </w:r>
            <w:r w:rsidRPr="00AA0AB3">
              <w:rPr>
                <w:i/>
              </w:rPr>
              <w:t xml:space="preserve">. </w:t>
            </w:r>
            <w:r w:rsidRPr="006C5ED1">
              <w:rPr>
                <w:i/>
              </w:rPr>
              <w:t>Ανταπόκριση στις ανάγκες όλων των μαθητών</w:t>
            </w:r>
            <w:r w:rsidRPr="006C5ED1">
              <w:t xml:space="preserve"> (Μετάφρ.  Χ. Θεοφιλίδης &amp; Δ. Μαρτίδου - Φορσιέ). Αθήνα</w:t>
            </w:r>
            <w:r w:rsidRPr="000D4604">
              <w:rPr>
                <w:lang w:val="en-US"/>
              </w:rPr>
              <w:t xml:space="preserve">: </w:t>
            </w:r>
            <w:r w:rsidRPr="006C5ED1">
              <w:t>Γρηγόρης</w:t>
            </w:r>
          </w:p>
          <w:p w:rsidR="00786CED" w:rsidRPr="006C5ED1" w:rsidRDefault="00786CED" w:rsidP="00786CED">
            <w:pPr>
              <w:spacing w:after="120"/>
              <w:ind w:left="720" w:hanging="720"/>
              <w:rPr>
                <w:lang w:val="en-GB"/>
              </w:rPr>
            </w:pPr>
            <w:r w:rsidRPr="006C5ED1">
              <w:rPr>
                <w:lang w:val="en-US"/>
              </w:rPr>
              <w:t>Tomlinson, C. A., C. Brighton, H. Hertberg, C. M. Callahan,  T. R. Moon,  K. Brimijoin, L. A. Conover &amp; Reynolds, T. (2003). Differentiating instruction in response to student readiness, interest, and learning profile in academically</w:t>
            </w:r>
            <w:r w:rsidRPr="006C5ED1">
              <w:rPr>
                <w:lang w:val="en-GB"/>
              </w:rPr>
              <w:t xml:space="preserve"> </w:t>
            </w:r>
            <w:r w:rsidRPr="006C5ED1">
              <w:rPr>
                <w:lang w:val="en-US"/>
              </w:rPr>
              <w:t xml:space="preserve">diverse classrooms: A review of literature. </w:t>
            </w:r>
            <w:r w:rsidRPr="006C5ED1">
              <w:rPr>
                <w:i/>
                <w:lang w:val="en-US"/>
              </w:rPr>
              <w:t xml:space="preserve">Journal of the Education of the Gifted </w:t>
            </w:r>
            <w:r w:rsidRPr="006C5ED1">
              <w:rPr>
                <w:lang w:val="en-US"/>
              </w:rPr>
              <w:t>27(2/3): 119–145.</w:t>
            </w:r>
          </w:p>
          <w:p w:rsidR="00786CED" w:rsidRDefault="00786CED" w:rsidP="00786CED">
            <w:pPr>
              <w:spacing w:after="120"/>
              <w:ind w:left="720" w:hanging="720"/>
              <w:rPr>
                <w:lang w:val="en-US"/>
              </w:rPr>
            </w:pPr>
            <w:r>
              <w:rPr>
                <w:lang w:val="en-US"/>
              </w:rPr>
              <w:t xml:space="preserve">Watkins, C. (2005). Classrooms as learning communities. A review of research. </w:t>
            </w:r>
            <w:r w:rsidRPr="00786CED">
              <w:rPr>
                <w:i/>
                <w:lang w:val="en-US"/>
              </w:rPr>
              <w:t>London Review of Education 3</w:t>
            </w:r>
            <w:r>
              <w:rPr>
                <w:lang w:val="en-US"/>
              </w:rPr>
              <w:t>(1), 47-64.</w:t>
            </w:r>
            <w:r w:rsidR="005759CD">
              <w:rPr>
                <w:lang w:val="en-US"/>
              </w:rPr>
              <w:t xml:space="preserve"> </w:t>
            </w:r>
          </w:p>
          <w:p w:rsidR="005759CD" w:rsidRDefault="005759CD" w:rsidP="00786CED">
            <w:pPr>
              <w:spacing w:after="120"/>
              <w:ind w:left="720" w:hanging="720"/>
              <w:rPr>
                <w:lang w:val="en-US"/>
              </w:rPr>
            </w:pPr>
            <w:r w:rsidRPr="005759CD">
              <w:rPr>
                <w:lang w:val="en-US"/>
              </w:rPr>
              <w:t>Watts-Taffe, S., Laster, B. P., Broach, L., Marinak, B., Connor, C. M., Walker-Dalhouse, D. (2012, December/2013, January).</w:t>
            </w:r>
            <w:r>
              <w:rPr>
                <w:lang w:val="en-US"/>
              </w:rPr>
              <w:t xml:space="preserve"> Differentiated Instruction: Making Informed Teacher Decisions.</w:t>
            </w:r>
            <w:r w:rsidRPr="005759CD">
              <w:rPr>
                <w:lang w:val="en-US"/>
              </w:rPr>
              <w:br/>
            </w:r>
            <w:r w:rsidRPr="005759CD">
              <w:rPr>
                <w:i/>
                <w:iCs/>
                <w:lang w:val="en-US"/>
              </w:rPr>
              <w:t>Reading Teacher, 66</w:t>
            </w:r>
            <w:r w:rsidRPr="005759CD">
              <w:rPr>
                <w:lang w:val="en-US"/>
              </w:rPr>
              <w:t>(4), 303–314.</w:t>
            </w:r>
          </w:p>
          <w:p w:rsidR="00786CED" w:rsidRDefault="00786CED" w:rsidP="00786CED">
            <w:pPr>
              <w:spacing w:after="120"/>
              <w:ind w:left="720" w:hanging="720"/>
              <w:rPr>
                <w:lang w:val="en-US"/>
              </w:rPr>
            </w:pPr>
            <w:r>
              <w:rPr>
                <w:lang w:val="en-US"/>
              </w:rPr>
              <w:t xml:space="preserve">Wentzel, K. R. (2002). Are effective teachers like good parents? Teaching styles and student adjustment in early adolescence. </w:t>
            </w:r>
            <w:r w:rsidRPr="00786CED">
              <w:rPr>
                <w:i/>
                <w:lang w:val="en-US"/>
              </w:rPr>
              <w:t>Child Development 73</w:t>
            </w:r>
            <w:r>
              <w:rPr>
                <w:lang w:val="en-US"/>
              </w:rPr>
              <w:t xml:space="preserve">, 287-301. </w:t>
            </w:r>
          </w:p>
          <w:p w:rsidR="00786CED" w:rsidRPr="006C5ED1" w:rsidRDefault="00786CED" w:rsidP="00786CED">
            <w:pPr>
              <w:spacing w:after="120"/>
              <w:ind w:left="720" w:hanging="720"/>
            </w:pPr>
            <w:r w:rsidRPr="006C5ED1">
              <w:t>Δημητριάδου</w:t>
            </w:r>
            <w:r w:rsidRPr="00AA0AB3">
              <w:t xml:space="preserve">, </w:t>
            </w:r>
            <w:r w:rsidRPr="006C5ED1">
              <w:t>Κ</w:t>
            </w:r>
            <w:r w:rsidRPr="00AA0AB3">
              <w:t xml:space="preserve">. &amp; </w:t>
            </w:r>
            <w:r w:rsidRPr="006C5ED1">
              <w:t>Βράντση</w:t>
            </w:r>
            <w:r w:rsidRPr="00AA0AB3">
              <w:t xml:space="preserve">, </w:t>
            </w:r>
            <w:r w:rsidRPr="006C5ED1">
              <w:t>Α</w:t>
            </w:r>
            <w:r w:rsidRPr="00AA0AB3">
              <w:t xml:space="preserve">. (2013). </w:t>
            </w:r>
            <w:r w:rsidRPr="006C5ED1">
              <w:t xml:space="preserve">Η Εννοιολογική Χαρτογράφηση ως όχημα διαφοροποίησης της διδασκαλίας. Τα Αποτελέσματα ενός Σεμιναρίου Ασύγχρονης Επιμόρφωσης. </w:t>
            </w:r>
            <w:r w:rsidRPr="006C5ED1">
              <w:rPr>
                <w:i/>
              </w:rPr>
              <w:t>Πρακτικά του Διεθνούς Συνεδρίου “</w:t>
            </w:r>
            <w:r w:rsidRPr="006C5ED1">
              <w:rPr>
                <w:i/>
                <w:lang w:val="en-US"/>
              </w:rPr>
              <w:t>Reimagining</w:t>
            </w:r>
            <w:r w:rsidRPr="006C5ED1">
              <w:rPr>
                <w:i/>
              </w:rPr>
              <w:t xml:space="preserve"> </w:t>
            </w:r>
            <w:r w:rsidRPr="006C5ED1">
              <w:rPr>
                <w:i/>
                <w:lang w:val="en-US"/>
              </w:rPr>
              <w:t>Schooling</w:t>
            </w:r>
            <w:r w:rsidRPr="006C5ED1">
              <w:rPr>
                <w:i/>
              </w:rPr>
              <w:t>”</w:t>
            </w:r>
            <w:r w:rsidRPr="006C5ED1">
              <w:t>, Θεσσαλονίκη 28-29/6/2013 (υπό δημοσίευση).</w:t>
            </w:r>
          </w:p>
          <w:p w:rsidR="00786CED" w:rsidRPr="006C5ED1" w:rsidRDefault="00786CED" w:rsidP="00786CED">
            <w:pPr>
              <w:spacing w:after="120"/>
              <w:ind w:left="720" w:hanging="720"/>
            </w:pPr>
            <w:r w:rsidRPr="006C5ED1">
              <w:t xml:space="preserve">Δημητριάδου, Κ. &amp; Ευσταθίου, Μ. (2008). Διδακτικές προσεγγίσεις σε μικτές τάξεις. Στο:  Ένταξη παιδιών παλιννοστούντων και αλλοδαπών στο σχολείο (γυμνάσιο), Δ. Κ. Μαυροσκούφης (Επιμ.), </w:t>
            </w:r>
            <w:r w:rsidRPr="006C5ED1">
              <w:rPr>
                <w:i/>
              </w:rPr>
              <w:t>Οδηγός Επιμόρφωσης. Διαπολιτισμική Εκπαίδευση και Αγωγή</w:t>
            </w:r>
            <w:r w:rsidRPr="006C5ED1">
              <w:t xml:space="preserve">, σσ. 67-85. Υπ.Ε.Π.Θ. </w:t>
            </w:r>
          </w:p>
          <w:p w:rsidR="00786CED" w:rsidRPr="006C5ED1" w:rsidRDefault="00786CED" w:rsidP="00786CED">
            <w:pPr>
              <w:spacing w:after="120"/>
              <w:ind w:left="720" w:hanging="720"/>
            </w:pPr>
            <w:r w:rsidRPr="006C5ED1">
              <w:t xml:space="preserve">Δημητριάδου, Κ. &amp; Παλαιολόγου, Ν. (2014). Διδακτική αξιοποίηση ενός λογοτεχνικού μετα-κειμένου σε πλαίσιο διαφοροποιημένης μάθησης: Οι φωνές των εκπαιδευτικών. </w:t>
            </w:r>
            <w:r w:rsidRPr="006C5ED1">
              <w:rPr>
                <w:i/>
              </w:rPr>
              <w:t>Παιδαγωγική Επιθεώρηση</w:t>
            </w:r>
            <w:r w:rsidRPr="006C5ED1">
              <w:t xml:space="preserve"> 57/58 (υπό δημοσίευση). </w:t>
            </w:r>
          </w:p>
          <w:p w:rsidR="00786CED" w:rsidRPr="006C5ED1" w:rsidRDefault="00786CED" w:rsidP="00786CED">
            <w:pPr>
              <w:spacing w:after="120"/>
              <w:ind w:left="720" w:hanging="720"/>
            </w:pPr>
            <w:r w:rsidRPr="006C5ED1">
              <w:t xml:space="preserve">Δημητριάδου, Κ. (2014). Διαφοροποίηση της διδασκαλίας με χρήση της εννοιολογικής χαρτογράφησης: Τα διδακτικά σενάρια των εκπαιδευτικών. Στο: Ε. Κατσαρού &amp; Μ. Λιακοπούλου (επιμ.), </w:t>
            </w:r>
            <w:r w:rsidRPr="006C5ED1">
              <w:rPr>
                <w:i/>
              </w:rPr>
              <w:t>Θέματα διδασκαλίας και αγωγής στο πολυπολιτισμικό σχολείο. Ενότητα Α, Επιμορφωτικό υλικό</w:t>
            </w:r>
            <w:r w:rsidRPr="006C5ED1">
              <w:t>, σσ. 63-81. Θεσσαλονίκη: Εκπαίδευση Αλλοδαπών και Παλιννοστούντων Μαθητών</w:t>
            </w:r>
          </w:p>
          <w:p w:rsidR="00786CED" w:rsidRPr="006C5ED1" w:rsidRDefault="00786CED" w:rsidP="00786CED">
            <w:pPr>
              <w:spacing w:after="120"/>
              <w:ind w:left="720" w:hanging="720"/>
            </w:pPr>
            <w:r w:rsidRPr="006C5ED1">
              <w:t xml:space="preserve">Ιωαννίδου-Κουτσελίνη, Μ. (2006). Στρατηγικές διαφοροποίησης της διδασκαλίας στη σχολική τάξη. </w:t>
            </w:r>
            <w:r w:rsidRPr="006C5ED1">
              <w:rPr>
                <w:i/>
              </w:rPr>
              <w:t>Παιδαγωγική Επιθεώρηση</w:t>
            </w:r>
            <w:r w:rsidRPr="006C5ED1">
              <w:t xml:space="preserve"> 41, 9-23. </w:t>
            </w:r>
          </w:p>
          <w:p w:rsidR="00786CED" w:rsidRPr="006C5ED1" w:rsidRDefault="00786CED" w:rsidP="00786CED">
            <w:pPr>
              <w:spacing w:after="120"/>
              <w:ind w:left="720" w:hanging="720"/>
            </w:pPr>
            <w:r w:rsidRPr="006C5ED1">
              <w:t xml:space="preserve">Κουτσελίνη–Ιωαννίδου, Μ. (2008). </w:t>
            </w:r>
            <w:r w:rsidRPr="006C5ED1">
              <w:rPr>
                <w:i/>
              </w:rPr>
              <w:t>Εποικοδόμηση και Διαφοροποίηση Διδασκαλίας –Μάθησης σε τάξεις μικτής ικανότητας</w:t>
            </w:r>
            <w:r w:rsidRPr="006C5ED1">
              <w:t>. Λευκωσία: αυτοέκδοση.</w:t>
            </w:r>
          </w:p>
          <w:p w:rsidR="00786CED" w:rsidRPr="006C5ED1" w:rsidRDefault="00786CED" w:rsidP="00786CED">
            <w:pPr>
              <w:spacing w:after="120"/>
              <w:ind w:left="720" w:hanging="720"/>
            </w:pPr>
            <w:r w:rsidRPr="006C5ED1">
              <w:t xml:space="preserve">Παντελιάδου, Σ. &amp; Φιλιππάτου, Δ. (2013). </w:t>
            </w:r>
            <w:r w:rsidRPr="006C5ED1">
              <w:rPr>
                <w:i/>
              </w:rPr>
              <w:t xml:space="preserve">Διαφοροποιημένη Διδασκαλία. Θεωρητικές προσεγγίσεις &amp; εκπαιδευτικές πρακτικές. </w:t>
            </w:r>
            <w:r w:rsidRPr="006C5ED1">
              <w:t xml:space="preserve">Αθήνα: Πεδίο. </w:t>
            </w:r>
          </w:p>
          <w:p w:rsidR="00786CED" w:rsidRPr="00DE24EC" w:rsidRDefault="00786CED" w:rsidP="00786CED">
            <w:pPr>
              <w:spacing w:after="120"/>
              <w:ind w:left="720" w:hanging="720"/>
            </w:pPr>
            <w:r w:rsidRPr="00F977CB">
              <w:rPr>
                <w:color w:val="000000" w:themeColor="text1"/>
              </w:rPr>
              <w:t>Σπύρτου</w:t>
            </w:r>
            <w:r w:rsidRPr="00830B67">
              <w:rPr>
                <w:color w:val="000000" w:themeColor="text1"/>
              </w:rPr>
              <w:t xml:space="preserve">, </w:t>
            </w:r>
            <w:r w:rsidRPr="00F977CB">
              <w:rPr>
                <w:color w:val="000000" w:themeColor="text1"/>
                <w:lang w:val="en-US"/>
              </w:rPr>
              <w:t>A</w:t>
            </w:r>
            <w:r w:rsidRPr="00830B67">
              <w:rPr>
                <w:color w:val="000000" w:themeColor="text1"/>
              </w:rPr>
              <w:t xml:space="preserve">., </w:t>
            </w:r>
            <w:r w:rsidRPr="00F977CB">
              <w:rPr>
                <w:color w:val="000000" w:themeColor="text1"/>
              </w:rPr>
              <w:t>Νάρη</w:t>
            </w:r>
            <w:r w:rsidRPr="00830B67">
              <w:rPr>
                <w:color w:val="000000" w:themeColor="text1"/>
              </w:rPr>
              <w:t xml:space="preserve">, </w:t>
            </w:r>
            <w:r w:rsidRPr="00F977CB">
              <w:rPr>
                <w:color w:val="000000" w:themeColor="text1"/>
              </w:rPr>
              <w:t>Ειρ</w:t>
            </w:r>
            <w:r w:rsidRPr="00830B67">
              <w:rPr>
                <w:color w:val="000000" w:themeColor="text1"/>
              </w:rPr>
              <w:t xml:space="preserve">. &amp; </w:t>
            </w:r>
            <w:r w:rsidRPr="00F977CB">
              <w:rPr>
                <w:color w:val="000000" w:themeColor="text1"/>
              </w:rPr>
              <w:t>Δημητριάδου</w:t>
            </w:r>
            <w:r w:rsidRPr="00830B67">
              <w:rPr>
                <w:color w:val="000000" w:themeColor="text1"/>
              </w:rPr>
              <w:t xml:space="preserve">, </w:t>
            </w:r>
            <w:r w:rsidRPr="00F977CB">
              <w:rPr>
                <w:color w:val="000000" w:themeColor="text1"/>
              </w:rPr>
              <w:t>Κ</w:t>
            </w:r>
            <w:r w:rsidRPr="00830B67">
              <w:rPr>
                <w:color w:val="000000" w:themeColor="text1"/>
              </w:rPr>
              <w:t>. (201</w:t>
            </w:r>
            <w:r w:rsidRPr="00BF7866">
              <w:rPr>
                <w:color w:val="000000" w:themeColor="text1"/>
              </w:rPr>
              <w:t>4</w:t>
            </w:r>
            <w:r w:rsidRPr="00830B67">
              <w:rPr>
                <w:color w:val="000000" w:themeColor="text1"/>
              </w:rPr>
              <w:t xml:space="preserve">). </w:t>
            </w:r>
            <w:r w:rsidRPr="00F977CB">
              <w:rPr>
                <w:color w:val="000000" w:themeColor="text1"/>
              </w:rPr>
              <w:t xml:space="preserve">Εξ αποστάσεως εκπαίδευση εκπαιδευτικών για τη διαφοροποίηση της διδασκαλίας στις Φυσικές Επιστήμες. </w:t>
            </w:r>
            <w:r w:rsidRPr="00F977CB">
              <w:t xml:space="preserve">Στο: </w:t>
            </w:r>
            <w:r>
              <w:t>Ζ. Παπαναούμ</w:t>
            </w:r>
            <w:r w:rsidRPr="00F977CB">
              <w:t xml:space="preserve"> &amp; Μ. Λιακοπούλου (Επιμ.), </w:t>
            </w:r>
            <w:r w:rsidRPr="00F977CB">
              <w:rPr>
                <w:i/>
                <w:color w:val="000000" w:themeColor="text1"/>
              </w:rPr>
              <w:t xml:space="preserve">Υποστηρίζοντας την επαγγελματική ανάπτυξη των εκπαιδευτικών. Εγχειρίδιο επιμόρφωσης, </w:t>
            </w:r>
            <w:r w:rsidRPr="00F977CB">
              <w:rPr>
                <w:color w:val="000000" w:themeColor="text1"/>
              </w:rPr>
              <w:t>σσ. 2</w:t>
            </w:r>
            <w:r>
              <w:rPr>
                <w:color w:val="000000" w:themeColor="text1"/>
              </w:rPr>
              <w:t>19</w:t>
            </w:r>
            <w:r w:rsidRPr="00F977CB">
              <w:rPr>
                <w:color w:val="000000" w:themeColor="text1"/>
              </w:rPr>
              <w:t>-2</w:t>
            </w:r>
            <w:r>
              <w:rPr>
                <w:color w:val="000000" w:themeColor="text1"/>
              </w:rPr>
              <w:t>40</w:t>
            </w:r>
            <w:r w:rsidRPr="00F977CB">
              <w:rPr>
                <w:color w:val="000000" w:themeColor="text1"/>
              </w:rPr>
              <w:t xml:space="preserve">. </w:t>
            </w:r>
            <w:r w:rsidRPr="00F977CB">
              <w:t>Θεσσαλονίκη: Εκπαίδευση Αλλοδαπών και Παλιννοστούντων Μαθητών (ΕΣΠΑ).</w:t>
            </w:r>
          </w:p>
          <w:p w:rsidR="00786CED" w:rsidRDefault="00786CED" w:rsidP="00786CED">
            <w:pPr>
              <w:spacing w:after="120"/>
              <w:rPr>
                <w:lang w:val="en-US"/>
              </w:rPr>
            </w:pPr>
            <w:r w:rsidRPr="007C482B">
              <w:t xml:space="preserve">Φρυδάκη, Ε. (2009). </w:t>
            </w:r>
            <w:r w:rsidRPr="007C482B">
              <w:rPr>
                <w:i/>
                <w:iCs/>
              </w:rPr>
              <w:t>Η διδασκαλία στην τομή της νεωτερικής και της μετανεωτερικής σκέψης</w:t>
            </w:r>
            <w:r w:rsidRPr="007C482B">
              <w:t>. Αθήνα</w:t>
            </w:r>
            <w:r w:rsidRPr="000D4604">
              <w:rPr>
                <w:lang w:val="en-US"/>
              </w:rPr>
              <w:t xml:space="preserve">: </w:t>
            </w:r>
            <w:r w:rsidRPr="007C482B">
              <w:t>Κριτική</w:t>
            </w:r>
            <w:r w:rsidRPr="000D4604">
              <w:rPr>
                <w:lang w:val="en-US"/>
              </w:rPr>
              <w:t>.</w:t>
            </w:r>
          </w:p>
          <w:p w:rsidR="00AA0AB3" w:rsidRDefault="00AA0AB3" w:rsidP="00786CED">
            <w:pPr>
              <w:spacing w:after="120"/>
              <w:rPr>
                <w:lang w:val="en-US"/>
              </w:rPr>
            </w:pPr>
          </w:p>
          <w:p w:rsidR="00AA0AB3" w:rsidRPr="00AA0AB3" w:rsidRDefault="00AA0AB3" w:rsidP="00786CED">
            <w:pPr>
              <w:spacing w:after="120"/>
              <w:rPr>
                <w:lang w:val="en-US"/>
              </w:rPr>
            </w:pPr>
            <w:r>
              <w:t>Περιοδικά</w:t>
            </w:r>
            <w:r w:rsidRPr="00AA0AB3">
              <w:rPr>
                <w:lang w:val="en-US"/>
              </w:rPr>
              <w:t>:</w:t>
            </w:r>
          </w:p>
          <w:p w:rsidR="00AA0AB3" w:rsidRDefault="00AA0AB3" w:rsidP="00AA0AB3">
            <w:pPr>
              <w:spacing w:after="120"/>
              <w:rPr>
                <w:lang w:val="en-US"/>
              </w:rPr>
            </w:pPr>
          </w:p>
          <w:p w:rsidR="00AA0AB3" w:rsidRDefault="00AA0AB3" w:rsidP="00AA0AB3">
            <w:pPr>
              <w:spacing w:after="120"/>
              <w:rPr>
                <w:lang w:val="en-US"/>
              </w:rPr>
            </w:pPr>
            <w:r>
              <w:rPr>
                <w:lang w:val="en-US"/>
              </w:rPr>
              <w:t>Educational Leadership</w:t>
            </w:r>
          </w:p>
          <w:p w:rsidR="00AA0AB3" w:rsidRDefault="00AA0AB3" w:rsidP="00786CED">
            <w:pPr>
              <w:spacing w:after="120"/>
              <w:rPr>
                <w:lang w:val="en-US"/>
              </w:rPr>
            </w:pPr>
            <w:r>
              <w:rPr>
                <w:lang w:val="en-US"/>
              </w:rPr>
              <w:t>Journal</w:t>
            </w:r>
            <w:r w:rsidRPr="00AA0AB3">
              <w:rPr>
                <w:lang w:val="en-US"/>
              </w:rPr>
              <w:t xml:space="preserve"> </w:t>
            </w:r>
            <w:r>
              <w:rPr>
                <w:lang w:val="en-US"/>
              </w:rPr>
              <w:t>of</w:t>
            </w:r>
            <w:r w:rsidRPr="00AA0AB3">
              <w:rPr>
                <w:lang w:val="en-US"/>
              </w:rPr>
              <w:t xml:space="preserve"> </w:t>
            </w:r>
            <w:r>
              <w:rPr>
                <w:lang w:val="en-US"/>
              </w:rPr>
              <w:t>Curriculum Studies</w:t>
            </w:r>
          </w:p>
          <w:p w:rsidR="00AA0AB3" w:rsidRPr="00AA0AB3" w:rsidRDefault="00AA0AB3" w:rsidP="00786CED">
            <w:pPr>
              <w:spacing w:after="120"/>
              <w:rPr>
                <w:lang w:val="en-US"/>
              </w:rPr>
            </w:pPr>
            <w:r w:rsidRPr="00AA0AB3">
              <w:rPr>
                <w:lang w:val="en-US"/>
              </w:rPr>
              <w:t>Journal of Research on Educational Effectiveness</w:t>
            </w:r>
          </w:p>
          <w:p w:rsidR="00AA0AB3" w:rsidRPr="00AA0AB3" w:rsidRDefault="00AA0AB3" w:rsidP="00AA0AB3">
            <w:pPr>
              <w:spacing w:after="120"/>
              <w:rPr>
                <w:lang w:val="en-US"/>
              </w:rPr>
            </w:pPr>
            <w:r>
              <w:rPr>
                <w:lang w:val="en-US"/>
              </w:rPr>
              <w:t>Teaching and Teacher Education</w:t>
            </w:r>
          </w:p>
          <w:p w:rsidR="00AA0AB3" w:rsidRPr="00AA0AB3" w:rsidRDefault="00AA0AB3" w:rsidP="00786CED">
            <w:pPr>
              <w:spacing w:after="120"/>
              <w:rPr>
                <w:lang w:val="en-US"/>
              </w:rPr>
            </w:pPr>
            <w:r>
              <w:rPr>
                <w:lang w:val="en-US"/>
              </w:rPr>
              <w:t>Review</w:t>
            </w:r>
            <w:r w:rsidRPr="00AA0AB3">
              <w:rPr>
                <w:lang w:val="en-US"/>
              </w:rPr>
              <w:t xml:space="preserve"> </w:t>
            </w:r>
            <w:r>
              <w:rPr>
                <w:lang w:val="en-US"/>
              </w:rPr>
              <w:t>of</w:t>
            </w:r>
            <w:r w:rsidRPr="00AA0AB3">
              <w:rPr>
                <w:lang w:val="en-US"/>
              </w:rPr>
              <w:t xml:space="preserve"> </w:t>
            </w:r>
            <w:r>
              <w:rPr>
                <w:lang w:val="en-US"/>
              </w:rPr>
              <w:t>Educational Research</w:t>
            </w:r>
          </w:p>
          <w:p w:rsidR="00AA0AB3" w:rsidRPr="00AA0AB3" w:rsidRDefault="00AA0AB3" w:rsidP="00786CED">
            <w:pPr>
              <w:spacing w:after="120"/>
              <w:rPr>
                <w:lang w:val="en-US"/>
              </w:rPr>
            </w:pPr>
            <w:r>
              <w:t>Παιδαγωγική</w:t>
            </w:r>
            <w:r w:rsidRPr="00AA0AB3">
              <w:rPr>
                <w:lang w:val="en-US"/>
              </w:rPr>
              <w:t xml:space="preserve"> </w:t>
            </w:r>
            <w:r>
              <w:t>Επιθεώρηση</w:t>
            </w:r>
          </w:p>
          <w:p w:rsidR="005C24DC" w:rsidRPr="00AA0AB3" w:rsidRDefault="005C24DC" w:rsidP="00786CED">
            <w:pPr>
              <w:ind w:left="720" w:hanging="720"/>
              <w:rPr>
                <w:lang w:val="en-US"/>
              </w:rPr>
            </w:pPr>
          </w:p>
        </w:tc>
      </w:tr>
    </w:tbl>
    <w:p w:rsidR="00B83BA5" w:rsidRPr="00AA0AB3" w:rsidRDefault="00B83BA5" w:rsidP="00B83BA5">
      <w:pPr>
        <w:jc w:val="center"/>
        <w:rPr>
          <w:lang w:val="en-US"/>
        </w:rPr>
      </w:pPr>
    </w:p>
    <w:sectPr w:rsidR="00B83BA5" w:rsidRPr="00AA0AB3" w:rsidSect="00DE12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48" w:rsidRDefault="006E0B48" w:rsidP="00F624F1">
      <w:pPr>
        <w:spacing w:after="0" w:line="240" w:lineRule="auto"/>
      </w:pPr>
      <w:r>
        <w:separator/>
      </w:r>
    </w:p>
  </w:endnote>
  <w:endnote w:type="continuationSeparator" w:id="1">
    <w:p w:rsidR="006E0B48" w:rsidRDefault="006E0B48" w:rsidP="00F6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14" w:rsidRDefault="0084521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9925"/>
      <w:docPartObj>
        <w:docPartGallery w:val="Page Numbers (Bottom of Page)"/>
        <w:docPartUnique/>
      </w:docPartObj>
    </w:sdtPr>
    <w:sdtContent>
      <w:p w:rsidR="00845214" w:rsidRDefault="00DA4F4B">
        <w:pPr>
          <w:pStyle w:val="a8"/>
          <w:jc w:val="right"/>
        </w:pPr>
        <w:fldSimple w:instr=" PAGE   \* MERGEFORMAT ">
          <w:r w:rsidR="006E0B48">
            <w:rPr>
              <w:noProof/>
            </w:rPr>
            <w:t>1</w:t>
          </w:r>
        </w:fldSimple>
      </w:p>
    </w:sdtContent>
  </w:sdt>
  <w:p w:rsidR="00845214" w:rsidRDefault="008452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14" w:rsidRDefault="008452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48" w:rsidRDefault="006E0B48" w:rsidP="00F624F1">
      <w:pPr>
        <w:spacing w:after="0" w:line="240" w:lineRule="auto"/>
      </w:pPr>
      <w:r>
        <w:separator/>
      </w:r>
    </w:p>
  </w:footnote>
  <w:footnote w:type="continuationSeparator" w:id="1">
    <w:p w:rsidR="006E0B48" w:rsidRDefault="006E0B48" w:rsidP="00F6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14" w:rsidRDefault="008452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14" w:rsidRDefault="0084521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14" w:rsidRDefault="008452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FE40A6"/>
    <w:multiLevelType w:val="hybridMultilevel"/>
    <w:tmpl w:val="8E5E1A12"/>
    <w:lvl w:ilvl="0" w:tplc="E9F6090C">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1E6015"/>
    <w:rsid w:val="00055873"/>
    <w:rsid w:val="0009412D"/>
    <w:rsid w:val="000A049D"/>
    <w:rsid w:val="000D4604"/>
    <w:rsid w:val="000E286A"/>
    <w:rsid w:val="00130F32"/>
    <w:rsid w:val="00141913"/>
    <w:rsid w:val="00143972"/>
    <w:rsid w:val="00157584"/>
    <w:rsid w:val="00170866"/>
    <w:rsid w:val="001865F0"/>
    <w:rsid w:val="00191AD7"/>
    <w:rsid w:val="001C0104"/>
    <w:rsid w:val="001E6015"/>
    <w:rsid w:val="001F1765"/>
    <w:rsid w:val="001F4365"/>
    <w:rsid w:val="00202F1F"/>
    <w:rsid w:val="00215975"/>
    <w:rsid w:val="002340EB"/>
    <w:rsid w:val="00236505"/>
    <w:rsid w:val="002403D4"/>
    <w:rsid w:val="00243F5A"/>
    <w:rsid w:val="002609E6"/>
    <w:rsid w:val="00264CC3"/>
    <w:rsid w:val="00291F77"/>
    <w:rsid w:val="002B0BEA"/>
    <w:rsid w:val="002B19E9"/>
    <w:rsid w:val="002C5CBD"/>
    <w:rsid w:val="002C791E"/>
    <w:rsid w:val="00305D9C"/>
    <w:rsid w:val="00385CDB"/>
    <w:rsid w:val="003B733E"/>
    <w:rsid w:val="003D0FDC"/>
    <w:rsid w:val="003D1BA9"/>
    <w:rsid w:val="003E0CD1"/>
    <w:rsid w:val="003E2A35"/>
    <w:rsid w:val="003E4CD6"/>
    <w:rsid w:val="0046706B"/>
    <w:rsid w:val="0047232E"/>
    <w:rsid w:val="00476A4A"/>
    <w:rsid w:val="00486413"/>
    <w:rsid w:val="004B7D97"/>
    <w:rsid w:val="0055111F"/>
    <w:rsid w:val="00557646"/>
    <w:rsid w:val="0056611C"/>
    <w:rsid w:val="005759CD"/>
    <w:rsid w:val="00576159"/>
    <w:rsid w:val="00586178"/>
    <w:rsid w:val="005A1B18"/>
    <w:rsid w:val="005C24DC"/>
    <w:rsid w:val="005C36A5"/>
    <w:rsid w:val="005C6268"/>
    <w:rsid w:val="005D161A"/>
    <w:rsid w:val="00666CAA"/>
    <w:rsid w:val="006B465B"/>
    <w:rsid w:val="006C5ED1"/>
    <w:rsid w:val="006E0B48"/>
    <w:rsid w:val="00705C6F"/>
    <w:rsid w:val="0076315A"/>
    <w:rsid w:val="00786CED"/>
    <w:rsid w:val="007C482B"/>
    <w:rsid w:val="007F35F2"/>
    <w:rsid w:val="00845214"/>
    <w:rsid w:val="008A2A6A"/>
    <w:rsid w:val="008C6952"/>
    <w:rsid w:val="008D27A6"/>
    <w:rsid w:val="00922EA4"/>
    <w:rsid w:val="00963078"/>
    <w:rsid w:val="00997FE7"/>
    <w:rsid w:val="009A1B1A"/>
    <w:rsid w:val="009A2936"/>
    <w:rsid w:val="009D64EA"/>
    <w:rsid w:val="00A6403F"/>
    <w:rsid w:val="00AA0AB3"/>
    <w:rsid w:val="00AF180B"/>
    <w:rsid w:val="00B07F4F"/>
    <w:rsid w:val="00B15FD1"/>
    <w:rsid w:val="00B344AF"/>
    <w:rsid w:val="00B411FF"/>
    <w:rsid w:val="00B555AC"/>
    <w:rsid w:val="00B729B7"/>
    <w:rsid w:val="00B83BA5"/>
    <w:rsid w:val="00BA4201"/>
    <w:rsid w:val="00BB28A7"/>
    <w:rsid w:val="00BC56C4"/>
    <w:rsid w:val="00C21659"/>
    <w:rsid w:val="00C23571"/>
    <w:rsid w:val="00C41683"/>
    <w:rsid w:val="00C429B1"/>
    <w:rsid w:val="00C472A9"/>
    <w:rsid w:val="00C53402"/>
    <w:rsid w:val="00C755F8"/>
    <w:rsid w:val="00C93634"/>
    <w:rsid w:val="00CA4076"/>
    <w:rsid w:val="00CC1075"/>
    <w:rsid w:val="00D30D45"/>
    <w:rsid w:val="00D60116"/>
    <w:rsid w:val="00D74DB5"/>
    <w:rsid w:val="00D92782"/>
    <w:rsid w:val="00DA4F4B"/>
    <w:rsid w:val="00DB2579"/>
    <w:rsid w:val="00DC4DFB"/>
    <w:rsid w:val="00DD0A70"/>
    <w:rsid w:val="00DE1267"/>
    <w:rsid w:val="00DE24EC"/>
    <w:rsid w:val="00DF5BE9"/>
    <w:rsid w:val="00E34783"/>
    <w:rsid w:val="00E5398F"/>
    <w:rsid w:val="00EA11B6"/>
    <w:rsid w:val="00EC3C25"/>
    <w:rsid w:val="00F419C9"/>
    <w:rsid w:val="00F624F1"/>
    <w:rsid w:val="00F722CF"/>
    <w:rsid w:val="00F77681"/>
    <w:rsid w:val="00F94658"/>
    <w:rsid w:val="00F94B32"/>
    <w:rsid w:val="00FB3C86"/>
    <w:rsid w:val="00FE006F"/>
    <w:rsid w:val="00FF5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a0"/>
    <w:rsid w:val="00F722CF"/>
  </w:style>
  <w:style w:type="character" w:styleId="a5">
    <w:name w:val="Emphasis"/>
    <w:basedOn w:val="a0"/>
    <w:uiPriority w:val="20"/>
    <w:qFormat/>
    <w:rsid w:val="00F722CF"/>
    <w:rPr>
      <w:i/>
      <w:iCs/>
    </w:rPr>
  </w:style>
  <w:style w:type="paragraph" w:styleId="a6">
    <w:name w:val="Body Text Indent"/>
    <w:basedOn w:val="a"/>
    <w:link w:val="Char"/>
    <w:uiPriority w:val="99"/>
    <w:unhideWhenUsed/>
    <w:rsid w:val="00F94658"/>
    <w:pPr>
      <w:spacing w:after="120" w:line="240" w:lineRule="auto"/>
      <w:ind w:left="283"/>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6"/>
    <w:uiPriority w:val="99"/>
    <w:rsid w:val="00F94658"/>
    <w:rPr>
      <w:rFonts w:ascii="Times New Roman" w:eastAsia="Times New Roman" w:hAnsi="Times New Roman" w:cs="Times New Roman"/>
      <w:sz w:val="24"/>
      <w:szCs w:val="24"/>
      <w:lang w:eastAsia="el-GR"/>
    </w:rPr>
  </w:style>
  <w:style w:type="paragraph" w:styleId="a7">
    <w:name w:val="header"/>
    <w:basedOn w:val="a"/>
    <w:link w:val="Char0"/>
    <w:uiPriority w:val="99"/>
    <w:semiHidden/>
    <w:unhideWhenUsed/>
    <w:rsid w:val="00F624F1"/>
    <w:pPr>
      <w:tabs>
        <w:tab w:val="center" w:pos="4153"/>
        <w:tab w:val="right" w:pos="8306"/>
      </w:tabs>
      <w:spacing w:after="0" w:line="240" w:lineRule="auto"/>
    </w:pPr>
  </w:style>
  <w:style w:type="character" w:customStyle="1" w:styleId="Char0">
    <w:name w:val="Κεφαλίδα Char"/>
    <w:basedOn w:val="a0"/>
    <w:link w:val="a7"/>
    <w:uiPriority w:val="99"/>
    <w:semiHidden/>
    <w:rsid w:val="00F624F1"/>
  </w:style>
  <w:style w:type="paragraph" w:styleId="a8">
    <w:name w:val="footer"/>
    <w:basedOn w:val="a"/>
    <w:link w:val="Char1"/>
    <w:uiPriority w:val="99"/>
    <w:unhideWhenUsed/>
    <w:rsid w:val="00F624F1"/>
    <w:pPr>
      <w:tabs>
        <w:tab w:val="center" w:pos="4153"/>
        <w:tab w:val="right" w:pos="8306"/>
      </w:tabs>
      <w:spacing w:after="0" w:line="240" w:lineRule="auto"/>
    </w:pPr>
  </w:style>
  <w:style w:type="character" w:customStyle="1" w:styleId="Char1">
    <w:name w:val="Υποσέλιδο Char"/>
    <w:basedOn w:val="a0"/>
    <w:link w:val="a8"/>
    <w:uiPriority w:val="99"/>
    <w:rsid w:val="00F624F1"/>
  </w:style>
  <w:style w:type="character" w:styleId="-">
    <w:name w:val="Hyperlink"/>
    <w:basedOn w:val="a0"/>
    <w:uiPriority w:val="99"/>
    <w:unhideWhenUsed/>
    <w:rsid w:val="00C93634"/>
    <w:rPr>
      <w:color w:val="0000FF" w:themeColor="hyperlink"/>
      <w:u w:val="single"/>
    </w:rPr>
  </w:style>
  <w:style w:type="character" w:styleId="-0">
    <w:name w:val="FollowedHyperlink"/>
    <w:basedOn w:val="a0"/>
    <w:uiPriority w:val="99"/>
    <w:semiHidden/>
    <w:unhideWhenUsed/>
    <w:rsid w:val="005C62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patentsonline.com/article/Childhood-Education/166188006.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2783</Words>
  <Characters>15029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2015-03-08T20:10:00Z</dcterms:created>
  <dcterms:modified xsi:type="dcterms:W3CDTF">2015-03-08T20:10:00Z</dcterms:modified>
</cp:coreProperties>
</file>