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442" w:tblpY="-976"/>
        <w:tblOverlap w:val="never"/>
        <w:tblW w:w="0" w:type="auto"/>
        <w:tblBorders>
          <w:top w:val="nil"/>
          <w:left w:val="nil"/>
          <w:bottom w:val="nil"/>
          <w:right w:val="nil"/>
        </w:tblBorders>
        <w:tblLook w:val="0000" w:firstRow="0" w:lastRow="0" w:firstColumn="0" w:lastColumn="0" w:noHBand="0" w:noVBand="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Pr="002C791E" w:rsidRDefault="00B83BA5" w:rsidP="002C791E">
      <w:pPr>
        <w:jc w:val="center"/>
        <w:rPr>
          <w:b/>
          <w:sz w:val="24"/>
          <w:szCs w:val="24"/>
        </w:rPr>
      </w:pPr>
      <w:r w:rsidRPr="002C791E">
        <w:rPr>
          <w:b/>
          <w:sz w:val="24"/>
          <w:szCs w:val="24"/>
        </w:rPr>
        <w:t>ΠΕΡΙΓΡΑΜΜΑ ΜΑΘΗΜΑΤΟΣ</w:t>
      </w:r>
    </w:p>
    <w:tbl>
      <w:tblPr>
        <w:tblStyle w:val="TableGrid"/>
        <w:tblW w:w="10065" w:type="dxa"/>
        <w:tblInd w:w="-743" w:type="dxa"/>
        <w:tblLayout w:type="fixed"/>
        <w:tblLook w:val="04A0" w:firstRow="1" w:lastRow="0" w:firstColumn="1" w:lastColumn="0" w:noHBand="0" w:noVBand="1"/>
      </w:tblPr>
      <w:tblGrid>
        <w:gridCol w:w="2978"/>
        <w:gridCol w:w="1984"/>
        <w:gridCol w:w="425"/>
        <w:gridCol w:w="2268"/>
        <w:gridCol w:w="142"/>
        <w:gridCol w:w="2268"/>
      </w:tblGrid>
      <w:tr w:rsidR="002C791E" w:rsidTr="00055873">
        <w:tc>
          <w:tcPr>
            <w:tcW w:w="2978" w:type="dxa"/>
            <w:tcBorders>
              <w:top w:val="nil"/>
              <w:left w:val="nil"/>
              <w:right w:val="nil"/>
            </w:tcBorders>
          </w:tcPr>
          <w:p w:rsidR="002C791E" w:rsidRPr="002C791E" w:rsidRDefault="002C791E" w:rsidP="002C791E">
            <w:pPr>
              <w:pStyle w:val="ListParagraph"/>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2"/>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D93841" w:rsidRDefault="00D93841" w:rsidP="00B83BA5">
            <w:pPr>
              <w:jc w:val="center"/>
            </w:pPr>
            <w:r>
              <w:t>ΠΑΙΔΑΓΩΓΙΚΗ</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D93841" w:rsidRDefault="005403BD" w:rsidP="00B83BA5">
            <w:pPr>
              <w:jc w:val="center"/>
            </w:pPr>
            <w:r>
              <w:t>ΠΤΝ - ΠΤΔΕ</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7F15F7" w:rsidRDefault="005403BD" w:rsidP="00B83BA5">
            <w:pPr>
              <w:jc w:val="center"/>
            </w:pPr>
            <w:r>
              <w:t>7</w:t>
            </w:r>
            <w:r w:rsidRPr="005403BD">
              <w:rPr>
                <w:vertAlign w:val="superscript"/>
              </w:rPr>
              <w:t>ο</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D93841" w:rsidRDefault="005403BD" w:rsidP="005A1334">
            <w:pPr>
              <w:jc w:val="center"/>
            </w:pPr>
            <w:r>
              <w:t>Υ4</w:t>
            </w:r>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002C791E">
              <w:rPr>
                <w:b/>
              </w:rPr>
              <w:t>Σ</w:t>
            </w:r>
            <w:r w:rsidRPr="006B465B">
              <w:rPr>
                <w:b/>
                <w:lang w:val="en-US"/>
              </w:rPr>
              <w:t>ΠΟΥΔΩΝ</w:t>
            </w:r>
          </w:p>
        </w:tc>
        <w:tc>
          <w:tcPr>
            <w:tcW w:w="2410" w:type="dxa"/>
            <w:gridSpan w:val="2"/>
          </w:tcPr>
          <w:p w:rsidR="00B83BA5" w:rsidRPr="005403BD" w:rsidRDefault="005403BD" w:rsidP="00B83BA5">
            <w:pPr>
              <w:jc w:val="center"/>
            </w:pPr>
            <w:r>
              <w:t>Γ’</w:t>
            </w: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ΤΙΤΛΟΣ ΜΑΘΗΜΑΤΟΣ</w:t>
            </w:r>
          </w:p>
        </w:tc>
        <w:tc>
          <w:tcPr>
            <w:tcW w:w="2409" w:type="dxa"/>
            <w:gridSpan w:val="2"/>
          </w:tcPr>
          <w:p w:rsidR="00B83BA5" w:rsidRPr="00D93841" w:rsidRDefault="005A1334" w:rsidP="00D01280">
            <w:pPr>
              <w:jc w:val="center"/>
            </w:pPr>
            <w:bookmarkStart w:id="0" w:name="_GoBack"/>
            <w:r>
              <w:t>ΕΙΣΑ</w:t>
            </w:r>
            <w:r w:rsidR="00D01280">
              <w:t xml:space="preserve">ΓΩΓΗ </w:t>
            </w:r>
            <w:r>
              <w:t>ΚΑΙΝΟΤΟΜΙ</w:t>
            </w:r>
            <w:r w:rsidR="00D01280">
              <w:t>ΩΝ</w:t>
            </w:r>
            <w:r>
              <w:t xml:space="preserve"> ΣΤΗΝ ΕΚΠΑΙΔΕΥΣΗ </w:t>
            </w:r>
            <w:bookmarkEnd w:id="0"/>
          </w:p>
        </w:tc>
        <w:tc>
          <w:tcPr>
            <w:tcW w:w="2268" w:type="dxa"/>
          </w:tcPr>
          <w:p w:rsidR="00B83BA5" w:rsidRDefault="00B83BA5" w:rsidP="00B83BA5">
            <w:pPr>
              <w:jc w:val="center"/>
            </w:pPr>
          </w:p>
          <w:p w:rsidR="00D93841" w:rsidRPr="00D93841" w:rsidRDefault="00D93841" w:rsidP="00B83BA5">
            <w:pPr>
              <w:jc w:val="center"/>
            </w:pPr>
          </w:p>
        </w:tc>
        <w:tc>
          <w:tcPr>
            <w:tcW w:w="2410" w:type="dxa"/>
            <w:gridSpan w:val="2"/>
          </w:tcPr>
          <w:p w:rsidR="00B83BA5" w:rsidRPr="00D93841" w:rsidRDefault="00B83BA5" w:rsidP="00B83BA5">
            <w:pPr>
              <w:jc w:val="center"/>
            </w:pP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Default="006B465B" w:rsidP="00B83BA5">
            <w:pPr>
              <w:jc w:val="center"/>
              <w:rPr>
                <w:b/>
                <w:lang w:val="en-US"/>
              </w:rPr>
            </w:pPr>
            <w:r w:rsidRPr="006B465B">
              <w:rPr>
                <w:b/>
              </w:rPr>
              <w:t>ΔΙΔΑΣΚΑΛΙΑΣ</w:t>
            </w:r>
          </w:p>
          <w:p w:rsidR="005403BD" w:rsidRPr="005403BD" w:rsidRDefault="005403BD" w:rsidP="00B83BA5">
            <w:pPr>
              <w:jc w:val="center"/>
              <w:rPr>
                <w:b/>
                <w:lang w:val="en-US"/>
              </w:rPr>
            </w:pPr>
            <w:r>
              <w:rPr>
                <w:b/>
                <w:lang w:val="en-US"/>
              </w:rPr>
              <w:t>3</w:t>
            </w:r>
          </w:p>
          <w:p w:rsidR="00396739" w:rsidRPr="006B465B" w:rsidRDefault="00396739" w:rsidP="00B83BA5">
            <w:pPr>
              <w:jc w:val="center"/>
              <w:rPr>
                <w:b/>
              </w:rPr>
            </w:pPr>
          </w:p>
        </w:tc>
        <w:tc>
          <w:tcPr>
            <w:tcW w:w="2410" w:type="dxa"/>
            <w:gridSpan w:val="2"/>
            <w:shd w:val="clear" w:color="auto" w:fill="DDD9C3" w:themeFill="background2" w:themeFillShade="E6"/>
          </w:tcPr>
          <w:p w:rsidR="006B465B" w:rsidRDefault="006B465B" w:rsidP="00B83BA5">
            <w:pPr>
              <w:jc w:val="center"/>
              <w:rPr>
                <w:b/>
              </w:rPr>
            </w:pPr>
          </w:p>
          <w:p w:rsidR="006B465B" w:rsidRDefault="006B465B" w:rsidP="00B83BA5">
            <w:pPr>
              <w:jc w:val="center"/>
              <w:rPr>
                <w:b/>
                <w:lang w:val="en-US"/>
              </w:rPr>
            </w:pPr>
            <w:r w:rsidRPr="006B465B">
              <w:rPr>
                <w:b/>
              </w:rPr>
              <w:t>ΠΙΣΤΩΤΙΚΕΣ ΜΟΝΑΔΕΣ</w:t>
            </w:r>
          </w:p>
          <w:p w:rsidR="005403BD" w:rsidRPr="005403BD" w:rsidRDefault="005403BD" w:rsidP="00B83BA5">
            <w:pPr>
              <w:jc w:val="center"/>
              <w:rPr>
                <w:b/>
                <w:lang w:val="en-US"/>
              </w:rPr>
            </w:pPr>
            <w:r>
              <w:rPr>
                <w:b/>
                <w:lang w:val="en-US"/>
              </w:rPr>
              <w:t>10</w:t>
            </w:r>
          </w:p>
          <w:p w:rsidR="00FB6C61" w:rsidRPr="00FB6C61" w:rsidRDefault="00FB6C61" w:rsidP="00B83BA5">
            <w:pPr>
              <w:jc w:val="center"/>
              <w:rPr>
                <w:b/>
                <w:lang w:val="en-US"/>
              </w:rP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3"/>
          </w:tcPr>
          <w:p w:rsidR="002C791E" w:rsidRPr="006B465B" w:rsidRDefault="005A1334" w:rsidP="00B83BA5">
            <w:pPr>
              <w:jc w:val="center"/>
            </w:pPr>
            <w:r>
              <w:t>ΕΙΔΙΚΟΥ</w:t>
            </w:r>
            <w:r w:rsidR="00D93841">
              <w:t xml:space="preserve"> ΥΠΟΒΑΘΡΟΥ</w:t>
            </w: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3"/>
          </w:tcPr>
          <w:p w:rsidR="002C791E" w:rsidRPr="006B465B" w:rsidRDefault="00D93841" w:rsidP="00B83BA5">
            <w:pPr>
              <w:jc w:val="center"/>
            </w:pPr>
            <w:r>
              <w:t>ΟΧΙ</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3"/>
          </w:tcPr>
          <w:p w:rsidR="002C791E" w:rsidRPr="006B465B" w:rsidRDefault="00D93841" w:rsidP="00B83BA5">
            <w:pPr>
              <w:jc w:val="center"/>
            </w:pPr>
            <w:r>
              <w:t>ΕΛΛΗΝΙΚΑ - ΑΓΓΛΙΚΑ</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3"/>
          </w:tcPr>
          <w:p w:rsidR="002C791E" w:rsidRPr="006B465B" w:rsidRDefault="00D93841" w:rsidP="00B83BA5">
            <w:pPr>
              <w:jc w:val="center"/>
            </w:pPr>
            <w:r>
              <w:t>ΝΑΙ</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3"/>
            <w:tcBorders>
              <w:bottom w:val="single" w:sz="4" w:space="0" w:color="auto"/>
            </w:tcBorders>
          </w:tcPr>
          <w:p w:rsidR="002C791E" w:rsidRPr="0017588C" w:rsidRDefault="002C791E" w:rsidP="00B83BA5">
            <w:pPr>
              <w:jc w:val="center"/>
            </w:pPr>
          </w:p>
        </w:tc>
      </w:tr>
      <w:tr w:rsidR="002C791E" w:rsidRPr="001F4365" w:rsidTr="00055873">
        <w:tc>
          <w:tcPr>
            <w:tcW w:w="5387" w:type="dxa"/>
            <w:gridSpan w:val="3"/>
            <w:tcBorders>
              <w:left w:val="nil"/>
              <w:right w:val="nil"/>
            </w:tcBorders>
          </w:tcPr>
          <w:p w:rsidR="002C791E" w:rsidRPr="001F4365" w:rsidRDefault="001F4365" w:rsidP="001F4365">
            <w:pPr>
              <w:pStyle w:val="ListParagraph"/>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6"/>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ListParagraph"/>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ListParagraph"/>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ListParagraph"/>
              <w:numPr>
                <w:ilvl w:val="0"/>
                <w:numId w:val="8"/>
              </w:numPr>
            </w:pPr>
            <w:r w:rsidRPr="001F4365">
              <w:t>Περιληπτικός Οδηγός συγγραφής Μαθησιακών Αποτελεσμάτων</w:t>
            </w:r>
          </w:p>
        </w:tc>
      </w:tr>
      <w:tr w:rsidR="001F4365" w:rsidRPr="006B465B" w:rsidTr="00055873">
        <w:tc>
          <w:tcPr>
            <w:tcW w:w="10065" w:type="dxa"/>
            <w:gridSpan w:val="6"/>
            <w:tcBorders>
              <w:bottom w:val="single" w:sz="4" w:space="0" w:color="auto"/>
            </w:tcBorders>
          </w:tcPr>
          <w:p w:rsidR="001F4365" w:rsidRDefault="001F4365" w:rsidP="00B83BA5">
            <w:pPr>
              <w:jc w:val="center"/>
            </w:pPr>
          </w:p>
          <w:p w:rsidR="005F02FC" w:rsidRPr="005F02FC" w:rsidRDefault="005F02FC" w:rsidP="005F02FC">
            <w:pPr>
              <w:jc w:val="both"/>
              <w:rPr>
                <w:b/>
              </w:rPr>
            </w:pPr>
            <w:r w:rsidRPr="005F02FC">
              <w:rPr>
                <w:b/>
              </w:rPr>
              <w:t>Γνώσεις</w:t>
            </w:r>
          </w:p>
          <w:p w:rsidR="005F02FC" w:rsidRDefault="005F02FC" w:rsidP="005F02FC">
            <w:pPr>
              <w:jc w:val="both"/>
            </w:pPr>
            <w:r>
              <w:t>Οι φοιτητές αναμένεται να διαθέτουν πολύ εξειδικευμένες γνώσεις, μερικές από τις οποίες είναι γνώσεις αιχμής σε σχέση με την εισαγωγή καινοτομιών στην εκπαίδευση και τη σχολική βελτίωση και αποτελούν τη βάση για πρωτότυπη σκέψη. Αναμένεται να διαθέτουν κριτική επίγνωση των ζητημάτων γνώσης σε σχέση με τις καινοτομίες και τη σχολική βελτίωση και στη διασύνδεσή τους με διαφορετικά πεδία.</w:t>
            </w:r>
          </w:p>
          <w:p w:rsidR="005F02FC" w:rsidRDefault="005F02FC" w:rsidP="005F02FC">
            <w:pPr>
              <w:jc w:val="both"/>
            </w:pPr>
          </w:p>
          <w:p w:rsidR="005F02FC" w:rsidRPr="005F02FC" w:rsidRDefault="005F02FC" w:rsidP="005F02FC">
            <w:pPr>
              <w:jc w:val="both"/>
              <w:rPr>
                <w:b/>
              </w:rPr>
            </w:pPr>
            <w:r w:rsidRPr="005F02FC">
              <w:rPr>
                <w:b/>
              </w:rPr>
              <w:t>Δεξιότητες</w:t>
            </w:r>
          </w:p>
          <w:p w:rsidR="005F02FC" w:rsidRDefault="005F02FC" w:rsidP="005F02FC">
            <w:pPr>
              <w:jc w:val="both"/>
            </w:pPr>
            <w:r>
              <w:t>Οι φοιτητές αναμένεται να κατέχουν εξειδικευμένες δεξιότητες επίλυσης προβλημάτων, οι οποίες</w:t>
            </w:r>
          </w:p>
          <w:p w:rsidR="005F02FC" w:rsidRDefault="005F02FC" w:rsidP="005F02FC">
            <w:pPr>
              <w:jc w:val="both"/>
            </w:pPr>
            <w:r>
              <w:lastRenderedPageBreak/>
              <w:t>απαιτούνται στην έρευνα ή/και στην καινοτομία προκειμένου να αναπτυχθούν νέες γνώσεις και διαδικασίες και να ενσωματωθούν γνώσεις από διαφορετικά πεδία.</w:t>
            </w:r>
          </w:p>
          <w:p w:rsidR="005F02FC" w:rsidRDefault="005F02FC" w:rsidP="005F02FC">
            <w:pPr>
              <w:jc w:val="both"/>
            </w:pPr>
          </w:p>
          <w:p w:rsidR="005F02FC" w:rsidRPr="005F02FC" w:rsidRDefault="005F02FC" w:rsidP="005F02FC">
            <w:pPr>
              <w:jc w:val="both"/>
              <w:rPr>
                <w:b/>
              </w:rPr>
            </w:pPr>
            <w:r w:rsidRPr="005F02FC">
              <w:rPr>
                <w:b/>
              </w:rPr>
              <w:t>Ικανότητες</w:t>
            </w:r>
          </w:p>
          <w:p w:rsidR="001F4365" w:rsidRDefault="005F02FC" w:rsidP="005F02FC">
            <w:pPr>
              <w:jc w:val="both"/>
            </w:pPr>
            <w:r>
              <w:t>Οι φοιτητές αναμένεται να είναι σε θέση να διαχειρίζονται και να μετασχηματίζουν περιβάλλοντα εργασίας ή σπουδής που είναι σύνθετα, απρόβλεπτα και απαιτούν νέες στρατηγικές προσεγγίσεις. Αναλαμβάνουν την ευθύνη για τη συνεισφορά στις επαγγελματικές γνώσεις και πρακτικές ή/και για την αξιολόγηση της στρατηγικής απόδοσης ομάδων.</w:t>
            </w:r>
          </w:p>
          <w:p w:rsidR="001F4365" w:rsidRPr="006B465B" w:rsidRDefault="001F4365" w:rsidP="00B83BA5">
            <w:pPr>
              <w:jc w:val="center"/>
            </w:pPr>
          </w:p>
        </w:tc>
      </w:tr>
      <w:tr w:rsidR="001F4365" w:rsidRPr="006B465B" w:rsidTr="00215975">
        <w:tc>
          <w:tcPr>
            <w:tcW w:w="10065" w:type="dxa"/>
            <w:gridSpan w:val="6"/>
            <w:tcBorders>
              <w:bottom w:val="nil"/>
            </w:tcBorders>
            <w:shd w:val="clear" w:color="auto" w:fill="DDD9C3" w:themeFill="background2" w:themeFillShade="E6"/>
          </w:tcPr>
          <w:p w:rsidR="001F4365" w:rsidRDefault="001F4365" w:rsidP="001F4365">
            <w:r w:rsidRPr="001F4365">
              <w:rPr>
                <w:b/>
              </w:rPr>
              <w:lastRenderedPageBreak/>
              <w:t>Γενικές Ικανότητες</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firstRow="0" w:lastRow="0" w:firstColumn="0" w:lastColumn="0" w:noHBand="0" w:noVBand="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p>
              </w:tc>
            </w:tr>
          </w:tbl>
          <w:p w:rsidR="001F4365" w:rsidRPr="002C791E" w:rsidRDefault="001F4365" w:rsidP="001F4365">
            <w:pPr>
              <w:rPr>
                <w:b/>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firstRow="0" w:lastRow="0" w:firstColumn="0" w:lastColumn="0" w:noHBand="0" w:noVBand="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w:t>
                  </w:r>
                  <w:proofErr w:type="spellStart"/>
                  <w:r w:rsidRPr="001F4365">
                    <w:rPr>
                      <w:i/>
                      <w:iCs/>
                      <w:sz w:val="22"/>
                      <w:szCs w:val="22"/>
                    </w:rPr>
                    <w:t>πολυπολιτισμικότητα</w:t>
                  </w:r>
                  <w:proofErr w:type="spellEnd"/>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6"/>
            <w:tcBorders>
              <w:bottom w:val="single" w:sz="4" w:space="0" w:color="auto"/>
            </w:tcBorders>
          </w:tcPr>
          <w:p w:rsidR="00B813BB" w:rsidRDefault="00B813BB" w:rsidP="00B813BB">
            <w:pPr>
              <w:pStyle w:val="ListParagraph"/>
              <w:numPr>
                <w:ilvl w:val="0"/>
                <w:numId w:val="14"/>
              </w:numPr>
              <w:ind w:left="317" w:hanging="317"/>
              <w:jc w:val="both"/>
            </w:pPr>
            <w:r>
              <w:t>Αναζήτηση, ανάλυση και σύνθεση δεδομένων και πληροφοριών, με τη χρήση και των απαραίτητων τεχνολογιών σχετικών με την εισαγωγή και την εφαρμογή καινοτομιών στην εκπαίδευση</w:t>
            </w:r>
          </w:p>
          <w:p w:rsidR="00B813BB" w:rsidRDefault="00B813BB" w:rsidP="00B813BB">
            <w:pPr>
              <w:pStyle w:val="ListParagraph"/>
              <w:numPr>
                <w:ilvl w:val="0"/>
                <w:numId w:val="14"/>
              </w:numPr>
              <w:ind w:left="317" w:hanging="317"/>
              <w:jc w:val="both"/>
            </w:pPr>
            <w:r>
              <w:t xml:space="preserve">Προσαρμογή σε νέες καταστάσεις και λήψη αποφάσεων </w:t>
            </w:r>
          </w:p>
          <w:p w:rsidR="00B813BB" w:rsidRDefault="00B813BB" w:rsidP="00B813BB">
            <w:pPr>
              <w:pStyle w:val="ListParagraph"/>
              <w:numPr>
                <w:ilvl w:val="0"/>
                <w:numId w:val="14"/>
              </w:numPr>
              <w:ind w:left="317" w:hanging="317"/>
              <w:jc w:val="both"/>
            </w:pPr>
            <w:r>
              <w:t xml:space="preserve">Αυτόνομη εργασία - Ομαδική εργασία </w:t>
            </w:r>
          </w:p>
          <w:p w:rsidR="00B813BB" w:rsidRDefault="00B813BB" w:rsidP="00B813BB">
            <w:pPr>
              <w:pStyle w:val="ListParagraph"/>
              <w:numPr>
                <w:ilvl w:val="0"/>
                <w:numId w:val="14"/>
              </w:numPr>
              <w:ind w:left="317" w:hanging="317"/>
              <w:jc w:val="both"/>
            </w:pPr>
            <w:r>
              <w:t xml:space="preserve">Εργασία σε διεθνές και διεπιστημονικό περιβάλλον </w:t>
            </w:r>
          </w:p>
          <w:p w:rsidR="00B813BB" w:rsidRDefault="00B813BB" w:rsidP="00B813BB">
            <w:pPr>
              <w:pStyle w:val="ListParagraph"/>
              <w:numPr>
                <w:ilvl w:val="0"/>
                <w:numId w:val="14"/>
              </w:numPr>
              <w:ind w:left="317" w:hanging="317"/>
              <w:jc w:val="both"/>
            </w:pPr>
            <w:r>
              <w:t xml:space="preserve">Παράγωγή νέων ερευνητικών ιδεών </w:t>
            </w:r>
          </w:p>
          <w:p w:rsidR="00B813BB" w:rsidRDefault="00B813BB" w:rsidP="00B813BB">
            <w:pPr>
              <w:pStyle w:val="ListParagraph"/>
              <w:numPr>
                <w:ilvl w:val="0"/>
                <w:numId w:val="14"/>
              </w:numPr>
              <w:ind w:left="317" w:hanging="317"/>
              <w:jc w:val="both"/>
            </w:pPr>
            <w:r>
              <w:t xml:space="preserve">Σχεδιασμός και διαχείριση καινοτόμων δράσεων  </w:t>
            </w:r>
          </w:p>
          <w:p w:rsidR="002609E6" w:rsidRDefault="002609E6" w:rsidP="00B813BB">
            <w:pPr>
              <w:ind w:left="317" w:hanging="317"/>
              <w:jc w:val="center"/>
            </w:pPr>
          </w:p>
          <w:p w:rsidR="001F4365" w:rsidRPr="006B465B" w:rsidRDefault="001F4365" w:rsidP="00B813BB">
            <w:pPr>
              <w:ind w:left="317" w:hanging="317"/>
              <w:jc w:val="center"/>
            </w:pPr>
          </w:p>
        </w:tc>
      </w:tr>
      <w:tr w:rsidR="00055873" w:rsidRPr="00055873" w:rsidTr="00215975">
        <w:tc>
          <w:tcPr>
            <w:tcW w:w="10065" w:type="dxa"/>
            <w:gridSpan w:val="6"/>
            <w:tcBorders>
              <w:left w:val="nil"/>
              <w:right w:val="nil"/>
            </w:tcBorders>
          </w:tcPr>
          <w:p w:rsidR="00055873" w:rsidRPr="00055873" w:rsidRDefault="00055873" w:rsidP="00055873">
            <w:pPr>
              <w:pStyle w:val="ListParagraph"/>
              <w:numPr>
                <w:ilvl w:val="0"/>
                <w:numId w:val="7"/>
              </w:numPr>
              <w:spacing w:before="120"/>
              <w:ind w:left="714" w:hanging="357"/>
              <w:rPr>
                <w:b/>
                <w:sz w:val="24"/>
                <w:szCs w:val="24"/>
              </w:rPr>
            </w:pPr>
            <w:r w:rsidRPr="00055873">
              <w:rPr>
                <w:b/>
                <w:sz w:val="24"/>
                <w:szCs w:val="24"/>
              </w:rPr>
              <w:t>ΠΕΡΙΕΧΟΜΕΝΟ ΜΑΘΗΜΑΤΟΣ</w:t>
            </w:r>
          </w:p>
        </w:tc>
      </w:tr>
      <w:tr w:rsidR="00055873" w:rsidRPr="006B465B" w:rsidTr="00215975">
        <w:tc>
          <w:tcPr>
            <w:tcW w:w="10065" w:type="dxa"/>
            <w:gridSpan w:val="6"/>
            <w:tcBorders>
              <w:bottom w:val="single" w:sz="4" w:space="0" w:color="auto"/>
            </w:tcBorders>
          </w:tcPr>
          <w:p w:rsidR="0017588C" w:rsidRDefault="0017588C" w:rsidP="00B813BB">
            <w:pPr>
              <w:pStyle w:val="ListParagraph"/>
              <w:numPr>
                <w:ilvl w:val="0"/>
                <w:numId w:val="10"/>
              </w:numPr>
              <w:ind w:left="317" w:hanging="283"/>
              <w:jc w:val="both"/>
            </w:pPr>
            <w:r>
              <w:t>Εισαγωγή στην έννοια της καινοτομίας – Χαρακτηριστικά και τύποι καινοτομιών – Καινοτομία στην εκπαίδευση</w:t>
            </w:r>
          </w:p>
          <w:p w:rsidR="0017588C" w:rsidRDefault="0017588C" w:rsidP="00B813BB">
            <w:pPr>
              <w:pStyle w:val="ListParagraph"/>
              <w:numPr>
                <w:ilvl w:val="0"/>
                <w:numId w:val="10"/>
              </w:numPr>
              <w:ind w:left="317" w:hanging="283"/>
              <w:jc w:val="both"/>
            </w:pPr>
            <w:r>
              <w:t>Αναγκαιότητα καινοτομιών – παράγοντες και συνθήκες εισαγωγής καινοτομιών</w:t>
            </w:r>
          </w:p>
          <w:p w:rsidR="0017588C" w:rsidRDefault="0017588C" w:rsidP="00B813BB">
            <w:pPr>
              <w:pStyle w:val="ListParagraph"/>
              <w:numPr>
                <w:ilvl w:val="0"/>
                <w:numId w:val="10"/>
              </w:numPr>
              <w:ind w:left="317" w:hanging="283"/>
              <w:jc w:val="both"/>
            </w:pPr>
            <w:r>
              <w:t>Παράγοντες επιτυχούς και ανεπιτυχούς εισαγωγής καινοτομιών – σχεδιασμός και εφαρμογή καινοτομιών</w:t>
            </w:r>
          </w:p>
          <w:p w:rsidR="0017588C" w:rsidRDefault="0017588C" w:rsidP="00B813BB">
            <w:pPr>
              <w:pStyle w:val="ListParagraph"/>
              <w:numPr>
                <w:ilvl w:val="0"/>
                <w:numId w:val="10"/>
              </w:numPr>
              <w:ind w:left="317" w:hanging="283"/>
              <w:jc w:val="both"/>
            </w:pPr>
            <w:r>
              <w:t xml:space="preserve">Εκπαιδευτικό σύστημα και εισαγωγή καινοτομιών – Αρχές και αντιστάσεις </w:t>
            </w:r>
          </w:p>
          <w:p w:rsidR="0017588C" w:rsidRDefault="0017588C" w:rsidP="00B813BB">
            <w:pPr>
              <w:pStyle w:val="ListParagraph"/>
              <w:numPr>
                <w:ilvl w:val="0"/>
                <w:numId w:val="10"/>
              </w:numPr>
              <w:ind w:left="317" w:hanging="283"/>
              <w:jc w:val="both"/>
            </w:pPr>
            <w:r>
              <w:t>Ηγεσία, διεύθυνση σχολικής μονάδας και εισαγωγή καινοτομιών</w:t>
            </w:r>
          </w:p>
          <w:p w:rsidR="0017588C" w:rsidRDefault="0017588C" w:rsidP="00B813BB">
            <w:pPr>
              <w:pStyle w:val="ListParagraph"/>
              <w:numPr>
                <w:ilvl w:val="0"/>
                <w:numId w:val="10"/>
              </w:numPr>
              <w:ind w:left="317" w:hanging="283"/>
              <w:jc w:val="both"/>
            </w:pPr>
            <w:r>
              <w:t>Εκπαιδευτικός και εισαγωγή καινοτομιών</w:t>
            </w:r>
            <w:r w:rsidR="006E5371">
              <w:t xml:space="preserve"> – σχολική βελτίωση</w:t>
            </w:r>
          </w:p>
          <w:p w:rsidR="0017588C" w:rsidRDefault="0017588C" w:rsidP="00B813BB">
            <w:pPr>
              <w:pStyle w:val="ListParagraph"/>
              <w:numPr>
                <w:ilvl w:val="0"/>
                <w:numId w:val="10"/>
              </w:numPr>
              <w:ind w:left="317" w:hanging="283"/>
              <w:jc w:val="both"/>
            </w:pPr>
            <w:r>
              <w:t>Μαθητές και εισαγωγή καινοτομιών</w:t>
            </w:r>
            <w:r w:rsidR="006E5371">
              <w:t xml:space="preserve"> – σχολική βελτίωση</w:t>
            </w:r>
          </w:p>
          <w:p w:rsidR="0017588C" w:rsidRDefault="0017588C" w:rsidP="00B813BB">
            <w:pPr>
              <w:pStyle w:val="ListParagraph"/>
              <w:numPr>
                <w:ilvl w:val="0"/>
                <w:numId w:val="10"/>
              </w:numPr>
              <w:ind w:left="317" w:hanging="283"/>
              <w:jc w:val="both"/>
            </w:pPr>
            <w:r>
              <w:t xml:space="preserve">Αναλυτικά προγράμματα και εισαγωγή καινοτομιών </w:t>
            </w:r>
            <w:r w:rsidR="006E5371">
              <w:t>– σχολική βελτίωση</w:t>
            </w:r>
          </w:p>
          <w:p w:rsidR="0017588C" w:rsidRDefault="0017588C" w:rsidP="00B813BB">
            <w:pPr>
              <w:pStyle w:val="ListParagraph"/>
              <w:numPr>
                <w:ilvl w:val="0"/>
                <w:numId w:val="10"/>
              </w:numPr>
              <w:ind w:left="317" w:hanging="283"/>
              <w:jc w:val="both"/>
            </w:pPr>
            <w:r>
              <w:t>Παραδείγματα εισαγωγής καινοτόμων προγραμμάτων στην εκπαίδευση διεθνώς</w:t>
            </w:r>
          </w:p>
          <w:p w:rsidR="0017588C" w:rsidRDefault="0017588C" w:rsidP="00B813BB">
            <w:pPr>
              <w:pStyle w:val="ListParagraph"/>
              <w:numPr>
                <w:ilvl w:val="0"/>
                <w:numId w:val="10"/>
              </w:numPr>
              <w:ind w:left="317" w:hanging="283"/>
              <w:jc w:val="both"/>
            </w:pPr>
            <w:r>
              <w:t>Νέες τεχνολογίες στην εκπαίδευση ως παράδειγμα καινοτομίας</w:t>
            </w:r>
          </w:p>
          <w:p w:rsidR="00055873" w:rsidRDefault="0017588C" w:rsidP="00B813BB">
            <w:pPr>
              <w:pStyle w:val="ListParagraph"/>
              <w:numPr>
                <w:ilvl w:val="0"/>
                <w:numId w:val="10"/>
              </w:numPr>
              <w:ind w:left="317" w:hanging="283"/>
              <w:jc w:val="both"/>
            </w:pPr>
            <w:r>
              <w:t>Ανακεφαλαίωση – προοπτικές – αξιολόγηση</w:t>
            </w:r>
          </w:p>
          <w:p w:rsidR="002609E6" w:rsidRPr="006B465B" w:rsidRDefault="002609E6" w:rsidP="00B813BB">
            <w:pPr>
              <w:ind w:left="317" w:hanging="283"/>
              <w:jc w:val="center"/>
            </w:pPr>
          </w:p>
        </w:tc>
      </w:tr>
      <w:tr w:rsidR="00055873" w:rsidRPr="00055873" w:rsidTr="00215975">
        <w:tc>
          <w:tcPr>
            <w:tcW w:w="10065" w:type="dxa"/>
            <w:gridSpan w:val="6"/>
            <w:tcBorders>
              <w:left w:val="nil"/>
              <w:right w:val="nil"/>
            </w:tcBorders>
          </w:tcPr>
          <w:p w:rsidR="00055873" w:rsidRPr="00055873" w:rsidRDefault="00055873" w:rsidP="00055873">
            <w:pPr>
              <w:pStyle w:val="ListParagraph"/>
              <w:numPr>
                <w:ilvl w:val="0"/>
                <w:numId w:val="7"/>
              </w:numPr>
              <w:spacing w:before="120"/>
              <w:ind w:left="714" w:hanging="357"/>
              <w:rPr>
                <w:b/>
                <w:sz w:val="24"/>
                <w:szCs w:val="24"/>
              </w:rPr>
            </w:pPr>
            <w:r w:rsidRPr="00055873">
              <w:rPr>
                <w:b/>
                <w:sz w:val="24"/>
                <w:szCs w:val="24"/>
              </w:rPr>
              <w:t>ΔΙΔΑΚΤΙΚΕΣ και ΜΑΘΗΣΙΑΚΕΣ ΜΕΘΟΔΟΙ -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lastRenderedPageBreak/>
              <w:t>εκπαίδευση κ.λπ.</w:t>
            </w:r>
          </w:p>
        </w:tc>
        <w:tc>
          <w:tcPr>
            <w:tcW w:w="5103" w:type="dxa"/>
            <w:gridSpan w:val="4"/>
          </w:tcPr>
          <w:p w:rsidR="00055873" w:rsidRDefault="00D93841" w:rsidP="00D93841">
            <w:pPr>
              <w:pStyle w:val="ListParagraph"/>
              <w:numPr>
                <w:ilvl w:val="0"/>
                <w:numId w:val="9"/>
              </w:numPr>
              <w:jc w:val="center"/>
            </w:pPr>
            <w:r>
              <w:lastRenderedPageBreak/>
              <w:t>ΠΡΟΣΩΠΟ ΜΕ ΠΡΟΣΩΠΟ</w:t>
            </w:r>
          </w:p>
          <w:p w:rsidR="00D93841" w:rsidRPr="006B465B" w:rsidRDefault="00D93841" w:rsidP="00C73927">
            <w:pPr>
              <w:pStyle w:val="ListParagraph"/>
            </w:pP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4"/>
          </w:tcPr>
          <w:p w:rsidR="00055873" w:rsidRPr="0017588C" w:rsidRDefault="0017588C" w:rsidP="00C73927">
            <w:pPr>
              <w:jc w:val="both"/>
            </w:pPr>
            <w:r>
              <w:t xml:space="preserve">Τόσο κατά τη διδασκαλία όσο και κατά την επικοινωνία με τους φοιτητές χρησιμοποιούνται ΤΠΕ. </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2835" w:type="dxa"/>
            <w:gridSpan w:val="3"/>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2268"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472A9">
              <w:rPr>
                <w:i/>
              </w:rPr>
              <w:t>Διαδραστική</w:t>
            </w:r>
            <w:proofErr w:type="spellEnd"/>
            <w:r w:rsidRPr="00C472A9">
              <w:rPr>
                <w:i/>
              </w:rPr>
              <w:t xml:space="preserve"> διδασκαλία, Εκπαιδευτικές επισκέψεις, Εκπόνηση μελέτης (</w:t>
            </w:r>
            <w:proofErr w:type="spellStart"/>
            <w:r w:rsidRPr="00C472A9">
              <w:rPr>
                <w:i/>
              </w:rPr>
              <w:t>project</w:t>
            </w:r>
            <w:proofErr w:type="spellEnd"/>
            <w:r w:rsidRPr="00C472A9">
              <w:rPr>
                <w:i/>
              </w:rPr>
              <w:t>), Συγγραφή εργασίας / εργασιών, Καλλιτεχνική δημιουργία, κ.λπ.</w:t>
            </w:r>
          </w:p>
        </w:tc>
        <w:tc>
          <w:tcPr>
            <w:tcW w:w="2835" w:type="dxa"/>
            <w:gridSpan w:val="3"/>
          </w:tcPr>
          <w:p w:rsidR="00C472A9" w:rsidRPr="00B813BB" w:rsidRDefault="00B813BB" w:rsidP="00B83BA5">
            <w:pPr>
              <w:jc w:val="center"/>
            </w:pPr>
            <w:r w:rsidRPr="00B813BB">
              <w:t>Διαλέξεις</w:t>
            </w:r>
          </w:p>
        </w:tc>
        <w:tc>
          <w:tcPr>
            <w:tcW w:w="2268" w:type="dxa"/>
          </w:tcPr>
          <w:p w:rsidR="00C472A9" w:rsidRPr="00E53BF2" w:rsidRDefault="00E53BF2" w:rsidP="00B83BA5">
            <w:pPr>
              <w:jc w:val="center"/>
              <w:rPr>
                <w:lang w:val="en-US"/>
              </w:rPr>
            </w:pPr>
            <w:r>
              <w:rPr>
                <w:lang w:val="en-US"/>
              </w:rPr>
              <w:t>39</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B813BB" w:rsidRDefault="00B813BB" w:rsidP="00B83BA5">
            <w:pPr>
              <w:jc w:val="center"/>
            </w:pPr>
            <w:r w:rsidRPr="00B813BB">
              <w:t>Ασκήσεις πεδίου</w:t>
            </w:r>
          </w:p>
        </w:tc>
        <w:tc>
          <w:tcPr>
            <w:tcW w:w="2268" w:type="dxa"/>
          </w:tcPr>
          <w:p w:rsidR="00C472A9" w:rsidRPr="00E53BF2" w:rsidRDefault="00E53BF2" w:rsidP="00B83BA5">
            <w:pPr>
              <w:jc w:val="center"/>
              <w:rPr>
                <w:lang w:val="en-US"/>
              </w:rPr>
            </w:pPr>
            <w:r>
              <w:rPr>
                <w:lang w:val="en-US"/>
              </w:rPr>
              <w:t>50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B813BB" w:rsidRDefault="00B813BB" w:rsidP="00B83BA5">
            <w:pPr>
              <w:jc w:val="center"/>
            </w:pPr>
            <w:r w:rsidRPr="00B813BB">
              <w:t>Μελέτη &amp; ανάλυση βιβλιογραφίας</w:t>
            </w:r>
          </w:p>
        </w:tc>
        <w:tc>
          <w:tcPr>
            <w:tcW w:w="2268" w:type="dxa"/>
          </w:tcPr>
          <w:p w:rsidR="00C472A9" w:rsidRPr="00E53BF2" w:rsidRDefault="00E53BF2" w:rsidP="00B83BA5">
            <w:pPr>
              <w:jc w:val="center"/>
              <w:rPr>
                <w:lang w:val="en-US"/>
              </w:rPr>
            </w:pPr>
            <w:r>
              <w:rPr>
                <w:lang w:val="en-US"/>
              </w:rPr>
              <w:t>60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B813BB" w:rsidRDefault="00B813BB" w:rsidP="00B83BA5">
            <w:pPr>
              <w:jc w:val="center"/>
            </w:pPr>
            <w:r w:rsidRPr="00B813BB">
              <w:t>Εκπόνηση μελέτης (</w:t>
            </w:r>
            <w:proofErr w:type="spellStart"/>
            <w:r w:rsidRPr="00B813BB">
              <w:t>project</w:t>
            </w:r>
            <w:proofErr w:type="spellEnd"/>
            <w:r w:rsidRPr="00B813BB">
              <w:t>)</w:t>
            </w:r>
          </w:p>
        </w:tc>
        <w:tc>
          <w:tcPr>
            <w:tcW w:w="2268" w:type="dxa"/>
          </w:tcPr>
          <w:p w:rsidR="00C472A9" w:rsidRPr="00E53BF2" w:rsidRDefault="00E53BF2" w:rsidP="00B83BA5">
            <w:pPr>
              <w:jc w:val="center"/>
              <w:rPr>
                <w:lang w:val="en-US"/>
              </w:rPr>
            </w:pPr>
            <w:r>
              <w:rPr>
                <w:lang w:val="en-US"/>
              </w:rPr>
              <w:t>60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B813BB" w:rsidRDefault="00B813BB" w:rsidP="00B83BA5">
            <w:pPr>
              <w:jc w:val="center"/>
            </w:pPr>
            <w:r w:rsidRPr="00B813BB">
              <w:t>Συγγραφή εργασίας / εργασιών</w:t>
            </w:r>
          </w:p>
        </w:tc>
        <w:tc>
          <w:tcPr>
            <w:tcW w:w="2268" w:type="dxa"/>
          </w:tcPr>
          <w:p w:rsidR="00C472A9" w:rsidRPr="00E53BF2" w:rsidRDefault="00E53BF2" w:rsidP="00B83BA5">
            <w:pPr>
              <w:jc w:val="center"/>
              <w:rPr>
                <w:lang w:val="en-US"/>
              </w:rPr>
            </w:pPr>
            <w:r>
              <w:rPr>
                <w:lang w:val="en-US"/>
              </w:rPr>
              <w:t>90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472A9">
              <w:rPr>
                <w:i/>
              </w:rPr>
              <w:t>standards</w:t>
            </w:r>
            <w:proofErr w:type="spellEnd"/>
            <w:r w:rsidRPr="00C472A9">
              <w:rPr>
                <w:i/>
              </w:rPr>
              <w:t xml:space="preserve"> του ECTS.</w:t>
            </w: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tcBorders>
              <w:bottom w:val="single" w:sz="4" w:space="0" w:color="auto"/>
            </w:tcBorders>
            <w:shd w:val="clear" w:color="auto" w:fill="DDD9C3" w:themeFill="background2" w:themeFillShade="E6"/>
          </w:tcPr>
          <w:p w:rsidR="00C472A9" w:rsidRPr="00C472A9" w:rsidRDefault="00C472A9" w:rsidP="00C472A9">
            <w:pPr>
              <w:jc w:val="right"/>
              <w:rPr>
                <w:b/>
              </w:rPr>
            </w:pPr>
            <w:r w:rsidRPr="00C472A9">
              <w:rPr>
                <w:b/>
              </w:rPr>
              <w:t>ΑΞΙΟΛΟΓΗΣΗ ΦΟΙΤΗΤΩΝ</w:t>
            </w:r>
          </w:p>
          <w:p w:rsidR="00C472A9" w:rsidRPr="00C472A9" w:rsidRDefault="00C472A9" w:rsidP="00C472A9">
            <w:pPr>
              <w:rPr>
                <w:i/>
              </w:rPr>
            </w:pPr>
            <w:r w:rsidRPr="00C472A9">
              <w:rPr>
                <w:i/>
              </w:rPr>
              <w:t>Περιγραφή της διαδικασίας αξιολόγησης.</w:t>
            </w:r>
          </w:p>
          <w:p w:rsidR="00C472A9" w:rsidRPr="00C472A9" w:rsidRDefault="00C472A9" w:rsidP="00C472A9">
            <w:pPr>
              <w:rPr>
                <w:i/>
              </w:rPr>
            </w:pPr>
          </w:p>
          <w:p w:rsidR="00C472A9" w:rsidRDefault="00C472A9"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Pr>
                <w:i/>
              </w:rPr>
              <w:t>Άλλες.</w:t>
            </w:r>
          </w:p>
          <w:p w:rsidR="00C472A9" w:rsidRPr="00C472A9" w:rsidRDefault="00C472A9" w:rsidP="00C472A9">
            <w:pPr>
              <w:jc w:val="both"/>
              <w:rPr>
                <w:i/>
              </w:rPr>
            </w:pPr>
          </w:p>
          <w:p w:rsidR="00C472A9" w:rsidRPr="00C472A9" w:rsidRDefault="00C472A9" w:rsidP="00C472A9">
            <w:pPr>
              <w:jc w:val="both"/>
              <w:rPr>
                <w:b/>
                <w:i/>
              </w:rPr>
            </w:pPr>
            <w:r w:rsidRPr="00C472A9">
              <w:rPr>
                <w:i/>
              </w:rPr>
              <w:t xml:space="preserve">Αναφέρονται ρητά προσδιορισμένα κριτήρια αξιολόγησης και εάν και που είναι </w:t>
            </w:r>
            <w:proofErr w:type="spellStart"/>
            <w:r w:rsidRPr="00C472A9">
              <w:rPr>
                <w:i/>
              </w:rPr>
              <w:t>προσβάσιμα</w:t>
            </w:r>
            <w:proofErr w:type="spellEnd"/>
            <w:r w:rsidRPr="00C472A9">
              <w:rPr>
                <w:i/>
              </w:rPr>
              <w:t xml:space="preserve"> από τους φοιτητές.</w:t>
            </w:r>
          </w:p>
        </w:tc>
        <w:tc>
          <w:tcPr>
            <w:tcW w:w="5103" w:type="dxa"/>
            <w:gridSpan w:val="4"/>
            <w:tcBorders>
              <w:bottom w:val="single" w:sz="4" w:space="0" w:color="auto"/>
            </w:tcBorders>
          </w:tcPr>
          <w:p w:rsidR="00396739" w:rsidRDefault="00396739" w:rsidP="00396739">
            <w:pPr>
              <w:jc w:val="both"/>
            </w:pPr>
            <w:r>
              <w:t>Η αξιολόγηση θα γίνεται με τον ακόλουθο τρόπο και με βάση τα παρακάτω κριτήρια:</w:t>
            </w:r>
          </w:p>
          <w:p w:rsidR="00396739" w:rsidRDefault="00396739" w:rsidP="00396739">
            <w:pPr>
              <w:jc w:val="both"/>
            </w:pPr>
            <w:r>
              <w:t>1.</w:t>
            </w:r>
            <w:r>
              <w:tab/>
              <w:t>Συμμετοχή----------10%</w:t>
            </w:r>
          </w:p>
          <w:p w:rsidR="00396739" w:rsidRDefault="00396739" w:rsidP="00396739">
            <w:pPr>
              <w:jc w:val="both"/>
            </w:pPr>
            <w:r>
              <w:t>2.</w:t>
            </w:r>
            <w:r>
              <w:tab/>
              <w:t>Ανάλυση και παρουσίαση άρθρου---------20%</w:t>
            </w:r>
          </w:p>
          <w:p w:rsidR="00396739" w:rsidRDefault="00396739" w:rsidP="00396739">
            <w:pPr>
              <w:jc w:val="both"/>
            </w:pPr>
            <w:r>
              <w:t>3.</w:t>
            </w:r>
            <w:r>
              <w:tab/>
              <w:t>Έρευνα θέματος και παρουσίαση – εργασία----------70%</w:t>
            </w:r>
          </w:p>
          <w:p w:rsidR="00396739" w:rsidRDefault="00396739" w:rsidP="00396739">
            <w:pPr>
              <w:jc w:val="both"/>
            </w:pPr>
          </w:p>
          <w:p w:rsidR="00C472A9" w:rsidRPr="006B465B" w:rsidRDefault="00396739" w:rsidP="00396739">
            <w:pPr>
              <w:jc w:val="both"/>
            </w:pPr>
            <w:r>
              <w:t>Η γλώσσα εξέτασης είναι τα ελληνικά ή τα αγγλικά (κατά περίπτωση)</w:t>
            </w:r>
          </w:p>
        </w:tc>
      </w:tr>
      <w:tr w:rsidR="002609E6" w:rsidRPr="002609E6" w:rsidTr="002609E6">
        <w:tc>
          <w:tcPr>
            <w:tcW w:w="10065" w:type="dxa"/>
            <w:gridSpan w:val="6"/>
            <w:tcBorders>
              <w:left w:val="nil"/>
              <w:right w:val="nil"/>
            </w:tcBorders>
          </w:tcPr>
          <w:p w:rsidR="002609E6" w:rsidRPr="002609E6" w:rsidRDefault="002609E6" w:rsidP="002609E6">
            <w:pPr>
              <w:pStyle w:val="ListParagraph"/>
              <w:numPr>
                <w:ilvl w:val="0"/>
                <w:numId w:val="7"/>
              </w:numPr>
              <w:spacing w:before="120"/>
              <w:ind w:left="714" w:hanging="357"/>
              <w:rPr>
                <w:b/>
                <w:sz w:val="24"/>
                <w:szCs w:val="24"/>
              </w:rPr>
            </w:pPr>
            <w:r w:rsidRPr="002609E6">
              <w:rPr>
                <w:b/>
                <w:sz w:val="24"/>
                <w:szCs w:val="24"/>
              </w:rPr>
              <w:t>ΣΥΝΙΣΤΩΜΕΝΗ-ΒΙΒΛΙΟΓΡΑΦΙΑ</w:t>
            </w:r>
          </w:p>
        </w:tc>
      </w:tr>
      <w:tr w:rsidR="002609E6" w:rsidRPr="006B465B" w:rsidTr="009E61D6">
        <w:tc>
          <w:tcPr>
            <w:tcW w:w="10065" w:type="dxa"/>
            <w:gridSpan w:val="6"/>
          </w:tcPr>
          <w:p w:rsidR="002609E6" w:rsidRDefault="002609E6" w:rsidP="002609E6">
            <w:pPr>
              <w:rPr>
                <w:i/>
              </w:rPr>
            </w:pPr>
            <w:r w:rsidRPr="00215975">
              <w:rPr>
                <w:i/>
              </w:rPr>
              <w:t>-Προτεινόμενη Βιβλιογραφία :</w:t>
            </w:r>
          </w:p>
          <w:p w:rsidR="0017588C" w:rsidRPr="00396739" w:rsidRDefault="0017588C" w:rsidP="0017588C">
            <w:pPr>
              <w:numPr>
                <w:ilvl w:val="0"/>
                <w:numId w:val="11"/>
              </w:numPr>
              <w:jc w:val="both"/>
              <w:rPr>
                <w:rFonts w:eastAsia="Times New Roman" w:cs="Times New Roman"/>
                <w:b/>
                <w:sz w:val="24"/>
                <w:szCs w:val="24"/>
                <w:u w:val="single"/>
                <w:lang w:eastAsia="el-GR"/>
              </w:rPr>
            </w:pPr>
            <w:r w:rsidRPr="00396739">
              <w:rPr>
                <w:rFonts w:eastAsia="Times New Roman" w:cs="Times New Roman"/>
                <w:color w:val="000000"/>
                <w:lang w:val="en-US" w:eastAsia="el-GR"/>
              </w:rPr>
              <w:t xml:space="preserve">Goleman, D., </w:t>
            </w:r>
            <w:proofErr w:type="spellStart"/>
            <w:r w:rsidRPr="00396739">
              <w:rPr>
                <w:rFonts w:eastAsia="Times New Roman" w:cs="Times New Roman"/>
                <w:color w:val="000000"/>
                <w:lang w:val="en-US" w:eastAsia="el-GR"/>
              </w:rPr>
              <w:t>Boyatzis</w:t>
            </w:r>
            <w:proofErr w:type="spellEnd"/>
            <w:r w:rsidRPr="00396739">
              <w:rPr>
                <w:rFonts w:eastAsia="Times New Roman" w:cs="Times New Roman"/>
                <w:color w:val="000000"/>
                <w:lang w:val="en-US" w:eastAsia="el-GR"/>
              </w:rPr>
              <w:t xml:space="preserve">, R., McKee, A. (2002). </w:t>
            </w:r>
            <w:r w:rsidRPr="00396739">
              <w:rPr>
                <w:rFonts w:eastAsia="Times New Roman" w:cs="Times New Roman"/>
                <w:i/>
                <w:color w:val="000000"/>
                <w:lang w:eastAsia="el-GR"/>
              </w:rPr>
              <w:t xml:space="preserve">Ο νέος ηγέτης. </w:t>
            </w:r>
            <w:r w:rsidRPr="00396739">
              <w:rPr>
                <w:rFonts w:eastAsia="Times New Roman" w:cs="Times New Roman"/>
                <w:color w:val="000000"/>
                <w:lang w:eastAsia="el-GR"/>
              </w:rPr>
              <w:t>Αθήνα : Ελληνικά Γράμματα.</w:t>
            </w:r>
          </w:p>
          <w:p w:rsidR="0017588C" w:rsidRPr="0017588C" w:rsidRDefault="0017588C" w:rsidP="0017588C">
            <w:pPr>
              <w:numPr>
                <w:ilvl w:val="0"/>
                <w:numId w:val="11"/>
              </w:numPr>
              <w:jc w:val="both"/>
              <w:rPr>
                <w:rFonts w:eastAsia="Times New Roman" w:cs="Times New Roman"/>
                <w:color w:val="000000"/>
                <w:lang w:eastAsia="el-GR"/>
              </w:rPr>
            </w:pPr>
            <w:r w:rsidRPr="0017588C">
              <w:rPr>
                <w:rFonts w:eastAsia="Times New Roman" w:cs="Times New Roman"/>
                <w:color w:val="000000"/>
                <w:lang w:eastAsia="el-GR"/>
              </w:rPr>
              <w:t>Αγγελίδης, Π. &amp;Μαυροειδής, Γ. (</w:t>
            </w:r>
            <w:proofErr w:type="spellStart"/>
            <w:r w:rsidRPr="0017588C">
              <w:rPr>
                <w:rFonts w:eastAsia="Times New Roman" w:cs="Times New Roman"/>
                <w:color w:val="000000"/>
                <w:lang w:eastAsia="el-GR"/>
              </w:rPr>
              <w:t>επιμ</w:t>
            </w:r>
            <w:proofErr w:type="spellEnd"/>
            <w:r w:rsidRPr="0017588C">
              <w:rPr>
                <w:rFonts w:eastAsia="Times New Roman" w:cs="Times New Roman"/>
                <w:color w:val="000000"/>
                <w:lang w:eastAsia="el-GR"/>
              </w:rPr>
              <w:t xml:space="preserve">). (2004) </w:t>
            </w:r>
            <w:r w:rsidRPr="0017588C">
              <w:rPr>
                <w:rFonts w:eastAsia="Times New Roman" w:cs="Times New Roman"/>
                <w:i/>
                <w:color w:val="000000"/>
                <w:lang w:eastAsia="el-GR"/>
              </w:rPr>
              <w:t>Εκπαιδευτικές καινοτομίες για το σχολείο του μέλλοντος.</w:t>
            </w:r>
            <w:r w:rsidRPr="0017588C">
              <w:rPr>
                <w:rFonts w:eastAsia="Times New Roman" w:cs="Times New Roman"/>
                <w:color w:val="000000"/>
                <w:lang w:eastAsia="el-GR"/>
              </w:rPr>
              <w:t xml:space="preserve"> Τόμος Α’, Αθήνα : </w:t>
            </w:r>
            <w:r w:rsidRPr="0017588C">
              <w:rPr>
                <w:rFonts w:eastAsia="Times New Roman" w:cs="Times New Roman"/>
                <w:color w:val="000000"/>
                <w:lang w:val="en-US" w:eastAsia="el-GR"/>
              </w:rPr>
              <w:t>Gutenberg</w:t>
            </w:r>
            <w:r w:rsidRPr="0017588C">
              <w:rPr>
                <w:rFonts w:eastAsia="Times New Roman" w:cs="Times New Roman"/>
                <w:color w:val="000000"/>
                <w:lang w:eastAsia="el-GR"/>
              </w:rPr>
              <w:t xml:space="preserve">. </w:t>
            </w:r>
          </w:p>
          <w:p w:rsidR="0017588C" w:rsidRPr="0017588C" w:rsidRDefault="0017588C" w:rsidP="0017588C">
            <w:pPr>
              <w:numPr>
                <w:ilvl w:val="0"/>
                <w:numId w:val="11"/>
              </w:numPr>
              <w:jc w:val="both"/>
              <w:rPr>
                <w:rFonts w:eastAsia="Times New Roman" w:cs="Times New Roman"/>
                <w:color w:val="000000"/>
                <w:lang w:eastAsia="el-GR"/>
              </w:rPr>
            </w:pPr>
            <w:r w:rsidRPr="0017588C">
              <w:rPr>
                <w:rFonts w:eastAsia="Times New Roman" w:cs="Times New Roman"/>
                <w:color w:val="000000"/>
                <w:lang w:eastAsia="el-GR"/>
              </w:rPr>
              <w:t>Αγγελίδης, Π. &amp;Μαυροειδής, Γ. (</w:t>
            </w:r>
            <w:proofErr w:type="spellStart"/>
            <w:r w:rsidRPr="0017588C">
              <w:rPr>
                <w:rFonts w:eastAsia="Times New Roman" w:cs="Times New Roman"/>
                <w:color w:val="000000"/>
                <w:lang w:eastAsia="el-GR"/>
              </w:rPr>
              <w:t>επιμ</w:t>
            </w:r>
            <w:proofErr w:type="spellEnd"/>
            <w:r w:rsidRPr="0017588C">
              <w:rPr>
                <w:rFonts w:eastAsia="Times New Roman" w:cs="Times New Roman"/>
                <w:color w:val="000000"/>
                <w:lang w:eastAsia="el-GR"/>
              </w:rPr>
              <w:t xml:space="preserve">). (2004) </w:t>
            </w:r>
            <w:r w:rsidRPr="0017588C">
              <w:rPr>
                <w:rFonts w:eastAsia="Times New Roman" w:cs="Times New Roman"/>
                <w:i/>
                <w:color w:val="000000"/>
                <w:lang w:eastAsia="el-GR"/>
              </w:rPr>
              <w:t>Εκπαιδευτικές καινοτομίες για το σχολείο του μέλλοντος.</w:t>
            </w:r>
            <w:r w:rsidRPr="0017588C">
              <w:rPr>
                <w:rFonts w:eastAsia="Times New Roman" w:cs="Times New Roman"/>
                <w:color w:val="000000"/>
                <w:lang w:eastAsia="el-GR"/>
              </w:rPr>
              <w:t xml:space="preserve"> Τόμος Β’, Αθήνα : </w:t>
            </w:r>
            <w:r w:rsidRPr="0017588C">
              <w:rPr>
                <w:rFonts w:eastAsia="Times New Roman" w:cs="Times New Roman"/>
                <w:color w:val="000000"/>
                <w:lang w:val="en-US" w:eastAsia="el-GR"/>
              </w:rPr>
              <w:t>Gutenberg</w:t>
            </w:r>
            <w:r w:rsidRPr="0017588C">
              <w:rPr>
                <w:rFonts w:eastAsia="Times New Roman" w:cs="Times New Roman"/>
                <w:color w:val="000000"/>
                <w:lang w:eastAsia="el-GR"/>
              </w:rPr>
              <w:t xml:space="preserve">. </w:t>
            </w:r>
          </w:p>
          <w:p w:rsidR="0017588C" w:rsidRPr="0017588C" w:rsidRDefault="0017588C" w:rsidP="0017588C">
            <w:pPr>
              <w:numPr>
                <w:ilvl w:val="0"/>
                <w:numId w:val="11"/>
              </w:numPr>
              <w:jc w:val="both"/>
              <w:rPr>
                <w:rFonts w:eastAsia="Times New Roman" w:cs="Times New Roman"/>
                <w:color w:val="000000"/>
                <w:lang w:eastAsia="el-GR"/>
              </w:rPr>
            </w:pPr>
            <w:proofErr w:type="spellStart"/>
            <w:r w:rsidRPr="0017588C">
              <w:rPr>
                <w:rFonts w:eastAsia="Times New Roman" w:cs="Times New Roman"/>
                <w:color w:val="000000"/>
                <w:lang w:eastAsia="el-GR"/>
              </w:rPr>
              <w:t>Μπουραντάς</w:t>
            </w:r>
            <w:proofErr w:type="spellEnd"/>
            <w:r w:rsidRPr="0017588C">
              <w:rPr>
                <w:rFonts w:eastAsia="Times New Roman" w:cs="Times New Roman"/>
                <w:color w:val="000000"/>
                <w:lang w:eastAsia="el-GR"/>
              </w:rPr>
              <w:t xml:space="preserve">, Δ. (2005) </w:t>
            </w:r>
            <w:r w:rsidRPr="0017588C">
              <w:rPr>
                <w:rFonts w:eastAsia="Times New Roman" w:cs="Times New Roman"/>
                <w:i/>
                <w:color w:val="000000"/>
                <w:lang w:eastAsia="el-GR"/>
              </w:rPr>
              <w:t xml:space="preserve">Ηγεσία. </w:t>
            </w:r>
            <w:r w:rsidRPr="0017588C">
              <w:rPr>
                <w:rFonts w:eastAsia="Times New Roman" w:cs="Times New Roman"/>
                <w:color w:val="000000"/>
                <w:lang w:eastAsia="el-GR"/>
              </w:rPr>
              <w:t>Αθήνα : Κριτική.</w:t>
            </w:r>
          </w:p>
          <w:p w:rsidR="0017588C" w:rsidRPr="0017588C" w:rsidRDefault="0017588C" w:rsidP="0017588C">
            <w:pPr>
              <w:numPr>
                <w:ilvl w:val="0"/>
                <w:numId w:val="11"/>
              </w:numPr>
              <w:jc w:val="both"/>
              <w:rPr>
                <w:rFonts w:eastAsia="Times New Roman" w:cs="Times New Roman"/>
                <w:color w:val="000000"/>
                <w:lang w:eastAsia="el-GR"/>
              </w:rPr>
            </w:pPr>
            <w:proofErr w:type="spellStart"/>
            <w:r w:rsidRPr="0017588C">
              <w:rPr>
                <w:rFonts w:eastAsia="Times New Roman" w:cs="Times New Roman"/>
                <w:color w:val="000000"/>
                <w:lang w:eastAsia="el-GR"/>
              </w:rPr>
              <w:t>Πασιαρδής</w:t>
            </w:r>
            <w:proofErr w:type="spellEnd"/>
            <w:r w:rsidRPr="0017588C">
              <w:rPr>
                <w:rFonts w:eastAsia="Times New Roman" w:cs="Times New Roman"/>
                <w:color w:val="000000"/>
                <w:lang w:eastAsia="el-GR"/>
              </w:rPr>
              <w:t xml:space="preserve">, Π. (2004) </w:t>
            </w:r>
            <w:r w:rsidRPr="0017588C">
              <w:rPr>
                <w:rFonts w:eastAsia="Times New Roman" w:cs="Times New Roman"/>
                <w:i/>
                <w:color w:val="000000"/>
                <w:lang w:eastAsia="el-GR"/>
              </w:rPr>
              <w:t xml:space="preserve">Εκπαιδευτική ηγεσία. </w:t>
            </w:r>
            <w:r w:rsidRPr="0017588C">
              <w:rPr>
                <w:rFonts w:eastAsia="Times New Roman" w:cs="Times New Roman"/>
                <w:color w:val="000000"/>
                <w:lang w:eastAsia="el-GR"/>
              </w:rPr>
              <w:t>Αθήνα : Μεταίχμιο.</w:t>
            </w:r>
          </w:p>
          <w:p w:rsidR="0017588C" w:rsidRPr="0017588C" w:rsidRDefault="0017588C" w:rsidP="0017588C">
            <w:pPr>
              <w:numPr>
                <w:ilvl w:val="0"/>
                <w:numId w:val="12"/>
              </w:numPr>
              <w:tabs>
                <w:tab w:val="num" w:pos="360"/>
              </w:tabs>
              <w:ind w:left="360"/>
              <w:jc w:val="both"/>
              <w:rPr>
                <w:rFonts w:eastAsia="Times New Roman" w:cs="Times New Roman"/>
                <w:color w:val="000000"/>
                <w:lang w:val="en-US" w:eastAsia="el-GR"/>
              </w:rPr>
            </w:pPr>
            <w:r w:rsidRPr="0017588C">
              <w:rPr>
                <w:rFonts w:eastAsia="Times New Roman" w:cs="Times New Roman"/>
                <w:color w:val="000000"/>
                <w:lang w:val="en-US" w:eastAsia="el-GR"/>
              </w:rPr>
              <w:lastRenderedPageBreak/>
              <w:t xml:space="preserve">Day, C. (2000). </w:t>
            </w:r>
            <w:r w:rsidRPr="0017588C">
              <w:rPr>
                <w:rFonts w:eastAsia="Times New Roman" w:cs="Times New Roman"/>
                <w:i/>
                <w:color w:val="000000"/>
                <w:lang w:val="en-US" w:eastAsia="el-GR"/>
              </w:rPr>
              <w:t xml:space="preserve">Leading Schools in Time of Change.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Open University Press (ISBN : 9780335205820).</w:t>
            </w:r>
          </w:p>
          <w:p w:rsidR="0017588C" w:rsidRPr="0017588C" w:rsidRDefault="0017588C" w:rsidP="0017588C">
            <w:pPr>
              <w:numPr>
                <w:ilvl w:val="0"/>
                <w:numId w:val="12"/>
              </w:numPr>
              <w:tabs>
                <w:tab w:val="num" w:pos="360"/>
              </w:tabs>
              <w:ind w:left="360"/>
              <w:jc w:val="both"/>
              <w:rPr>
                <w:rFonts w:eastAsia="Times New Roman" w:cs="Times New Roman"/>
                <w:color w:val="000000"/>
                <w:lang w:val="en-US" w:eastAsia="el-GR"/>
              </w:rPr>
            </w:pPr>
            <w:proofErr w:type="spellStart"/>
            <w:r w:rsidRPr="0017588C">
              <w:rPr>
                <w:rFonts w:eastAsia="Times New Roman" w:cs="Times New Roman"/>
                <w:color w:val="000000"/>
                <w:lang w:val="en-US" w:eastAsia="el-GR"/>
              </w:rPr>
              <w:t>Durrant</w:t>
            </w:r>
            <w:proofErr w:type="spellEnd"/>
            <w:r w:rsidRPr="0017588C">
              <w:rPr>
                <w:rFonts w:eastAsia="Times New Roman" w:cs="Times New Roman"/>
                <w:color w:val="000000"/>
                <w:lang w:val="en-US" w:eastAsia="el-GR"/>
              </w:rPr>
              <w:t xml:space="preserve">, J. and Holden, G. (2005). </w:t>
            </w:r>
            <w:r w:rsidRPr="0017588C">
              <w:rPr>
                <w:rFonts w:eastAsia="Times New Roman" w:cs="Times New Roman"/>
                <w:i/>
                <w:color w:val="000000"/>
                <w:lang w:val="en-US" w:eastAsia="el-GR"/>
              </w:rPr>
              <w:t xml:space="preserve">Teachers Leading Change.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Paul Chapman Educational Publishing (ISBN : 9781412900676).</w:t>
            </w:r>
          </w:p>
          <w:p w:rsidR="0017588C" w:rsidRPr="0017588C" w:rsidRDefault="0017588C" w:rsidP="0017588C">
            <w:pPr>
              <w:numPr>
                <w:ilvl w:val="0"/>
                <w:numId w:val="12"/>
              </w:numPr>
              <w:tabs>
                <w:tab w:val="num" w:pos="360"/>
              </w:tabs>
              <w:ind w:left="360"/>
              <w:jc w:val="both"/>
              <w:rPr>
                <w:rFonts w:eastAsia="Times New Roman" w:cs="Times New Roman"/>
                <w:color w:val="000000"/>
                <w:lang w:val="en-US" w:eastAsia="el-GR"/>
              </w:rPr>
            </w:pPr>
            <w:proofErr w:type="spellStart"/>
            <w:r w:rsidRPr="0017588C">
              <w:rPr>
                <w:rFonts w:eastAsia="Times New Roman" w:cs="Times New Roman"/>
                <w:color w:val="000000"/>
                <w:lang w:val="en-US" w:eastAsia="el-GR"/>
              </w:rPr>
              <w:t>Fullan</w:t>
            </w:r>
            <w:proofErr w:type="spellEnd"/>
            <w:r w:rsidRPr="0017588C">
              <w:rPr>
                <w:rFonts w:eastAsia="Times New Roman" w:cs="Times New Roman"/>
                <w:color w:val="000000"/>
                <w:lang w:val="en-US" w:eastAsia="el-GR"/>
              </w:rPr>
              <w:t xml:space="preserve">, M. (1997). </w:t>
            </w:r>
            <w:r w:rsidRPr="0017588C">
              <w:rPr>
                <w:rFonts w:eastAsia="Times New Roman" w:cs="Times New Roman"/>
                <w:i/>
                <w:color w:val="000000"/>
                <w:lang w:val="en-US" w:eastAsia="el-GR"/>
              </w:rPr>
              <w:t xml:space="preserve">The Challenge of School Change.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Corwin Press (ISBN : 9781575170398).</w:t>
            </w:r>
          </w:p>
          <w:p w:rsidR="0017588C" w:rsidRPr="0017588C" w:rsidRDefault="0017588C" w:rsidP="0017588C">
            <w:pPr>
              <w:numPr>
                <w:ilvl w:val="0"/>
                <w:numId w:val="12"/>
              </w:numPr>
              <w:tabs>
                <w:tab w:val="num" w:pos="360"/>
              </w:tabs>
              <w:ind w:left="360"/>
              <w:jc w:val="both"/>
              <w:rPr>
                <w:rFonts w:eastAsia="Times New Roman" w:cs="Times New Roman"/>
                <w:color w:val="000000"/>
                <w:lang w:val="en-US" w:eastAsia="el-GR"/>
              </w:rPr>
            </w:pPr>
            <w:r w:rsidRPr="0017588C">
              <w:rPr>
                <w:rFonts w:eastAsia="Times New Roman" w:cs="Times New Roman"/>
                <w:color w:val="000000"/>
                <w:lang w:val="en-US" w:eastAsia="el-GR"/>
              </w:rPr>
              <w:t xml:space="preserve">Hall, E.G. and </w:t>
            </w:r>
            <w:proofErr w:type="spellStart"/>
            <w:r w:rsidRPr="0017588C">
              <w:rPr>
                <w:rFonts w:eastAsia="Times New Roman" w:cs="Times New Roman"/>
                <w:color w:val="000000"/>
                <w:lang w:val="en-US" w:eastAsia="el-GR"/>
              </w:rPr>
              <w:t>Hord</w:t>
            </w:r>
            <w:proofErr w:type="spellEnd"/>
            <w:r w:rsidRPr="0017588C">
              <w:rPr>
                <w:rFonts w:eastAsia="Times New Roman" w:cs="Times New Roman"/>
                <w:color w:val="000000"/>
                <w:lang w:val="en-US" w:eastAsia="el-GR"/>
              </w:rPr>
              <w:t xml:space="preserve">, M. S. (2002). </w:t>
            </w:r>
            <w:r w:rsidRPr="0017588C">
              <w:rPr>
                <w:rFonts w:eastAsia="Times New Roman" w:cs="Times New Roman"/>
                <w:i/>
                <w:color w:val="000000"/>
                <w:lang w:val="en-US" w:eastAsia="el-GR"/>
              </w:rPr>
              <w:t xml:space="preserve">Implementing </w:t>
            </w:r>
            <w:proofErr w:type="gramStart"/>
            <w:r w:rsidRPr="0017588C">
              <w:rPr>
                <w:rFonts w:eastAsia="Times New Roman" w:cs="Times New Roman"/>
                <w:i/>
                <w:color w:val="000000"/>
                <w:lang w:val="en-US" w:eastAsia="el-GR"/>
              </w:rPr>
              <w:t>Change :</w:t>
            </w:r>
            <w:proofErr w:type="gramEnd"/>
            <w:r w:rsidRPr="0017588C">
              <w:rPr>
                <w:rFonts w:eastAsia="Times New Roman" w:cs="Times New Roman"/>
                <w:i/>
                <w:color w:val="000000"/>
                <w:lang w:val="en-US" w:eastAsia="el-GR"/>
              </w:rPr>
              <w:t xml:space="preserve"> Principals, Patterns and Potholes.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Allyn &amp; Bacon (ISBN : 9780205162222).</w:t>
            </w:r>
          </w:p>
          <w:p w:rsidR="0017588C" w:rsidRPr="0017588C" w:rsidRDefault="0017588C" w:rsidP="0017588C">
            <w:pPr>
              <w:numPr>
                <w:ilvl w:val="0"/>
                <w:numId w:val="12"/>
              </w:numPr>
              <w:tabs>
                <w:tab w:val="num" w:pos="360"/>
              </w:tabs>
              <w:ind w:left="360"/>
              <w:jc w:val="both"/>
              <w:rPr>
                <w:rFonts w:eastAsia="Times New Roman" w:cs="Times New Roman"/>
                <w:color w:val="000000"/>
                <w:lang w:val="en-US" w:eastAsia="el-GR"/>
              </w:rPr>
            </w:pPr>
            <w:r w:rsidRPr="0017588C">
              <w:rPr>
                <w:rFonts w:eastAsia="Times New Roman" w:cs="Times New Roman"/>
                <w:color w:val="000000"/>
                <w:lang w:val="en-US" w:eastAsia="el-GR"/>
              </w:rPr>
              <w:t xml:space="preserve">James, C. and Connolly, U. (2000). </w:t>
            </w:r>
            <w:r w:rsidRPr="0017588C">
              <w:rPr>
                <w:rFonts w:eastAsia="Times New Roman" w:cs="Times New Roman"/>
                <w:i/>
                <w:color w:val="000000"/>
                <w:lang w:val="en-US" w:eastAsia="el-GR"/>
              </w:rPr>
              <w:t xml:space="preserve">Effective Change in School.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Routledge </w:t>
            </w:r>
            <w:proofErr w:type="spellStart"/>
            <w:r w:rsidRPr="0017588C">
              <w:rPr>
                <w:rFonts w:eastAsia="Times New Roman" w:cs="Times New Roman"/>
                <w:color w:val="000000"/>
                <w:lang w:val="en-US" w:eastAsia="el-GR"/>
              </w:rPr>
              <w:t>Falmer</w:t>
            </w:r>
            <w:proofErr w:type="spellEnd"/>
            <w:r w:rsidRPr="0017588C">
              <w:rPr>
                <w:rFonts w:eastAsia="Times New Roman" w:cs="Times New Roman"/>
                <w:color w:val="000000"/>
                <w:lang w:val="en-US" w:eastAsia="el-GR"/>
              </w:rPr>
              <w:t xml:space="preserve"> (ISBN : 9780415221917).</w:t>
            </w:r>
          </w:p>
          <w:p w:rsidR="0017588C" w:rsidRPr="0017588C" w:rsidRDefault="0017588C" w:rsidP="0017588C">
            <w:pPr>
              <w:numPr>
                <w:ilvl w:val="0"/>
                <w:numId w:val="12"/>
              </w:numPr>
              <w:tabs>
                <w:tab w:val="num" w:pos="360"/>
              </w:tabs>
              <w:ind w:left="360"/>
              <w:jc w:val="both"/>
              <w:rPr>
                <w:rFonts w:eastAsia="Times New Roman" w:cs="Times New Roman"/>
                <w:color w:val="000000"/>
                <w:lang w:val="en-US" w:eastAsia="el-GR"/>
              </w:rPr>
            </w:pPr>
            <w:r w:rsidRPr="0017588C">
              <w:rPr>
                <w:rFonts w:eastAsia="Times New Roman" w:cs="Times New Roman"/>
                <w:color w:val="000000"/>
                <w:lang w:val="en-US" w:eastAsia="el-GR"/>
              </w:rPr>
              <w:t xml:space="preserve">Johnson, D. (2005). </w:t>
            </w:r>
            <w:r w:rsidRPr="0017588C">
              <w:rPr>
                <w:rFonts w:eastAsia="Times New Roman" w:cs="Times New Roman"/>
                <w:i/>
                <w:color w:val="000000"/>
                <w:lang w:val="en-US" w:eastAsia="el-GR"/>
              </w:rPr>
              <w:t xml:space="preserve">Sustaining Change in </w:t>
            </w:r>
            <w:proofErr w:type="gramStart"/>
            <w:r w:rsidRPr="0017588C">
              <w:rPr>
                <w:rFonts w:eastAsia="Times New Roman" w:cs="Times New Roman"/>
                <w:i/>
                <w:color w:val="000000"/>
                <w:lang w:val="en-US" w:eastAsia="el-GR"/>
              </w:rPr>
              <w:t>Schools :</w:t>
            </w:r>
            <w:proofErr w:type="gramEnd"/>
            <w:r w:rsidRPr="0017588C">
              <w:rPr>
                <w:rFonts w:eastAsia="Times New Roman" w:cs="Times New Roman"/>
                <w:i/>
                <w:color w:val="000000"/>
                <w:lang w:val="en-US" w:eastAsia="el-GR"/>
              </w:rPr>
              <w:t xml:space="preserve"> How to overcome differences and focus on quality.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Association for Supervision &amp; Curriculum </w:t>
            </w:r>
            <w:proofErr w:type="spellStart"/>
            <w:r w:rsidRPr="0017588C">
              <w:rPr>
                <w:rFonts w:eastAsia="Times New Roman" w:cs="Times New Roman"/>
                <w:color w:val="000000"/>
                <w:lang w:val="en-US" w:eastAsia="el-GR"/>
              </w:rPr>
              <w:t>Deve</w:t>
            </w:r>
            <w:proofErr w:type="spellEnd"/>
            <w:r w:rsidRPr="0017588C">
              <w:rPr>
                <w:rFonts w:eastAsia="Times New Roman" w:cs="Times New Roman"/>
                <w:color w:val="000000"/>
                <w:lang w:val="en-US" w:eastAsia="el-GR"/>
              </w:rPr>
              <w:t xml:space="preserve"> (ISBN : 9781416601470).</w:t>
            </w:r>
          </w:p>
          <w:p w:rsidR="0017588C" w:rsidRPr="0017588C" w:rsidRDefault="0017588C" w:rsidP="0017588C">
            <w:pPr>
              <w:numPr>
                <w:ilvl w:val="0"/>
                <w:numId w:val="12"/>
              </w:numPr>
              <w:tabs>
                <w:tab w:val="num" w:pos="360"/>
              </w:tabs>
              <w:ind w:left="360"/>
              <w:jc w:val="both"/>
              <w:rPr>
                <w:rFonts w:eastAsia="Times New Roman" w:cs="Times New Roman"/>
                <w:color w:val="000000"/>
                <w:lang w:val="en-US" w:eastAsia="el-GR"/>
              </w:rPr>
            </w:pPr>
            <w:r w:rsidRPr="0017588C">
              <w:rPr>
                <w:rFonts w:eastAsia="Times New Roman" w:cs="Times New Roman"/>
                <w:color w:val="000000"/>
                <w:lang w:val="en-US" w:eastAsia="el-GR"/>
              </w:rPr>
              <w:t xml:space="preserve">Morrison, K. (1998). </w:t>
            </w:r>
            <w:r w:rsidRPr="0017588C">
              <w:rPr>
                <w:rFonts w:eastAsia="Times New Roman" w:cs="Times New Roman"/>
                <w:i/>
                <w:color w:val="000000"/>
                <w:lang w:val="en-US" w:eastAsia="el-GR"/>
              </w:rPr>
              <w:t xml:space="preserve">Management theories for educational change.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Paul Chapman Educational Publishing (ISBN : 9781853964046).</w:t>
            </w:r>
          </w:p>
          <w:p w:rsidR="0017588C" w:rsidRPr="0017588C" w:rsidRDefault="0017588C" w:rsidP="0017588C">
            <w:pPr>
              <w:numPr>
                <w:ilvl w:val="0"/>
                <w:numId w:val="12"/>
              </w:numPr>
              <w:tabs>
                <w:tab w:val="num" w:pos="360"/>
              </w:tabs>
              <w:spacing w:before="100" w:beforeAutospacing="1" w:after="100" w:afterAutospacing="1"/>
              <w:ind w:left="360"/>
              <w:jc w:val="both"/>
              <w:rPr>
                <w:rFonts w:ascii="Bookman Old Style" w:eastAsia="Times New Roman" w:hAnsi="Bookman Old Style" w:cs="Times New Roman"/>
                <w:b/>
                <w:sz w:val="20"/>
                <w:szCs w:val="20"/>
                <w:lang w:val="en-GB" w:eastAsia="el-GR"/>
              </w:rPr>
            </w:pPr>
            <w:r w:rsidRPr="0017588C">
              <w:rPr>
                <w:rFonts w:eastAsia="Times New Roman" w:cs="Times New Roman"/>
                <w:color w:val="000000"/>
                <w:lang w:val="en-US" w:eastAsia="el-GR"/>
              </w:rPr>
              <w:t xml:space="preserve">Williams, B. (1997). </w:t>
            </w:r>
            <w:r w:rsidRPr="0017588C">
              <w:rPr>
                <w:rFonts w:eastAsia="Times New Roman" w:cs="Times New Roman"/>
                <w:i/>
                <w:color w:val="000000"/>
                <w:lang w:val="en-US" w:eastAsia="el-GR"/>
              </w:rPr>
              <w:t xml:space="preserve">Twelve Roles of Facilitators for School Change. </w:t>
            </w:r>
            <w:proofErr w:type="gramStart"/>
            <w:r w:rsidRPr="0017588C">
              <w:rPr>
                <w:rFonts w:eastAsia="Times New Roman" w:cs="Times New Roman"/>
                <w:color w:val="000000"/>
                <w:lang w:val="en-US" w:eastAsia="el-GR"/>
              </w:rPr>
              <w:t>London :</w:t>
            </w:r>
            <w:proofErr w:type="gramEnd"/>
            <w:r w:rsidRPr="0017588C">
              <w:rPr>
                <w:rFonts w:eastAsia="Times New Roman" w:cs="Times New Roman"/>
                <w:color w:val="000000"/>
                <w:lang w:val="en-US" w:eastAsia="el-GR"/>
              </w:rPr>
              <w:t xml:space="preserve"> Corwin Press (ISBN : 9781575170275).</w:t>
            </w:r>
          </w:p>
          <w:p w:rsidR="0017588C" w:rsidRPr="00215975" w:rsidRDefault="0017588C" w:rsidP="002609E6">
            <w:pPr>
              <w:rPr>
                <w:i/>
              </w:rPr>
            </w:pPr>
          </w:p>
          <w:p w:rsidR="002609E6" w:rsidRDefault="002609E6" w:rsidP="002609E6">
            <w:pPr>
              <w:rPr>
                <w:i/>
              </w:rPr>
            </w:pPr>
            <w:r w:rsidRPr="00215975">
              <w:rPr>
                <w:i/>
              </w:rPr>
              <w:t>-Συναφή επιστημονικά περιοδικά:</w:t>
            </w:r>
          </w:p>
          <w:p w:rsidR="00396739" w:rsidRPr="00396739" w:rsidRDefault="00396739" w:rsidP="00396739">
            <w:pPr>
              <w:pStyle w:val="ListParagraph"/>
              <w:numPr>
                <w:ilvl w:val="0"/>
                <w:numId w:val="13"/>
              </w:numPr>
              <w:rPr>
                <w:i/>
              </w:rPr>
            </w:pPr>
            <w:r>
              <w:rPr>
                <w:lang w:val="en-US"/>
              </w:rPr>
              <w:t>Management of change</w:t>
            </w:r>
          </w:p>
          <w:p w:rsidR="00396739" w:rsidRPr="00396739" w:rsidRDefault="00396739" w:rsidP="00396739">
            <w:pPr>
              <w:pStyle w:val="ListParagraph"/>
              <w:numPr>
                <w:ilvl w:val="0"/>
                <w:numId w:val="13"/>
              </w:numPr>
              <w:rPr>
                <w:i/>
              </w:rPr>
            </w:pPr>
            <w:proofErr w:type="spellStart"/>
            <w:r>
              <w:t>JournalofEducationalChange</w:t>
            </w:r>
            <w:proofErr w:type="spellEnd"/>
          </w:p>
          <w:p w:rsidR="00396739" w:rsidRPr="00396739" w:rsidRDefault="00396739" w:rsidP="00396739">
            <w:pPr>
              <w:pStyle w:val="ListParagraph"/>
              <w:numPr>
                <w:ilvl w:val="0"/>
                <w:numId w:val="13"/>
              </w:numPr>
              <w:rPr>
                <w:i/>
              </w:rPr>
            </w:pPr>
            <w:proofErr w:type="spellStart"/>
            <w:r>
              <w:t>SchoolEffectivenessandSchoolImprovement</w:t>
            </w:r>
            <w:proofErr w:type="spellEnd"/>
          </w:p>
          <w:p w:rsidR="002609E6" w:rsidRPr="006B465B" w:rsidRDefault="002609E6" w:rsidP="002609E6"/>
        </w:tc>
      </w:tr>
    </w:tbl>
    <w:p w:rsidR="00B83BA5" w:rsidRPr="006B465B" w:rsidRDefault="00B83BA5" w:rsidP="00B83BA5">
      <w:pPr>
        <w:jc w:val="center"/>
      </w:pPr>
    </w:p>
    <w:sectPr w:rsidR="00B83BA5" w:rsidRPr="006B465B" w:rsidSect="006228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117D60"/>
    <w:multiLevelType w:val="hybridMultilevel"/>
    <w:tmpl w:val="5248F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394CAB"/>
    <w:multiLevelType w:val="hybridMultilevel"/>
    <w:tmpl w:val="18F25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52933E4"/>
    <w:multiLevelType w:val="hybridMultilevel"/>
    <w:tmpl w:val="01987E74"/>
    <w:lvl w:ilvl="0" w:tplc="91947B38">
      <w:start w:val="1"/>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42296"/>
    <w:multiLevelType w:val="hybridMultilevel"/>
    <w:tmpl w:val="7AC0A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7DA0092"/>
    <w:multiLevelType w:val="hybridMultilevel"/>
    <w:tmpl w:val="3614F6F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1E61E8"/>
    <w:multiLevelType w:val="hybridMultilevel"/>
    <w:tmpl w:val="8B628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7"/>
  </w:num>
  <w:num w:numId="6">
    <w:abstractNumId w:val="0"/>
  </w:num>
  <w:num w:numId="7">
    <w:abstractNumId w:val="6"/>
  </w:num>
  <w:num w:numId="8">
    <w:abstractNumId w:val="13"/>
  </w:num>
  <w:num w:numId="9">
    <w:abstractNumId w:val="5"/>
  </w:num>
  <w:num w:numId="10">
    <w:abstractNumId w:val="12"/>
  </w:num>
  <w:num w:numId="11">
    <w:abstractNumId w:val="4"/>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E6015"/>
    <w:rsid w:val="00055873"/>
    <w:rsid w:val="0017588C"/>
    <w:rsid w:val="001E548C"/>
    <w:rsid w:val="001E6015"/>
    <w:rsid w:val="001F4365"/>
    <w:rsid w:val="00215975"/>
    <w:rsid w:val="002609E6"/>
    <w:rsid w:val="002B19E9"/>
    <w:rsid w:val="002C791E"/>
    <w:rsid w:val="002D0339"/>
    <w:rsid w:val="00396739"/>
    <w:rsid w:val="004774EA"/>
    <w:rsid w:val="005403BD"/>
    <w:rsid w:val="0056611C"/>
    <w:rsid w:val="005A1334"/>
    <w:rsid w:val="005F02FC"/>
    <w:rsid w:val="006228A6"/>
    <w:rsid w:val="006B465B"/>
    <w:rsid w:val="006E5371"/>
    <w:rsid w:val="007F15F7"/>
    <w:rsid w:val="00941B60"/>
    <w:rsid w:val="00B813BB"/>
    <w:rsid w:val="00B83BA5"/>
    <w:rsid w:val="00C472A9"/>
    <w:rsid w:val="00C73927"/>
    <w:rsid w:val="00CB6B9D"/>
    <w:rsid w:val="00D01280"/>
    <w:rsid w:val="00D55373"/>
    <w:rsid w:val="00D93841"/>
    <w:rsid w:val="00E53BF2"/>
    <w:rsid w:val="00FB3C86"/>
    <w:rsid w:val="00FB6C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7689A-8B6B-41C5-AF76-9462F1E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1281</Words>
  <Characters>6922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George</cp:lastModifiedBy>
  <cp:revision>3</cp:revision>
  <dcterms:created xsi:type="dcterms:W3CDTF">2015-03-06T10:27:00Z</dcterms:created>
  <dcterms:modified xsi:type="dcterms:W3CDTF">2016-09-28T09:25:00Z</dcterms:modified>
</cp:coreProperties>
</file>